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B7" w:rsidRDefault="003862B7" w:rsidP="00394450">
      <w:pPr>
        <w:shd w:val="clear" w:color="auto" w:fill="92D050"/>
        <w:spacing w:after="0" w:line="240" w:lineRule="auto"/>
        <w:ind w:firstLine="709"/>
        <w:jc w:val="center"/>
        <w:rPr>
          <w:rFonts w:ascii="Arial" w:eastAsia="SimSun" w:hAnsi="Arial" w:cs="Arial"/>
          <w:b/>
          <w:sz w:val="36"/>
          <w:szCs w:val="36"/>
          <w:lang w:val="it-IT" w:eastAsia="zh-CN"/>
        </w:rPr>
      </w:pPr>
      <w:r>
        <w:rPr>
          <w:rFonts w:ascii="Arial" w:eastAsia="SimSun" w:hAnsi="Arial" w:cs="Arial"/>
          <w:b/>
          <w:sz w:val="36"/>
          <w:szCs w:val="36"/>
          <w:lang w:val="it-IT" w:eastAsia="zh-CN"/>
        </w:rPr>
        <w:t>SCHEDA INFORMATIVA</w:t>
      </w:r>
      <w:r w:rsidR="00EA3E08" w:rsidRPr="008C3A82">
        <w:rPr>
          <w:rFonts w:ascii="Arial" w:eastAsia="SimSun" w:hAnsi="Arial" w:cs="Arial"/>
          <w:b/>
          <w:sz w:val="36"/>
          <w:szCs w:val="36"/>
          <w:lang w:val="it-IT" w:eastAsia="zh-CN"/>
        </w:rPr>
        <w:t xml:space="preserve"> </w:t>
      </w:r>
    </w:p>
    <w:p w:rsidR="00EA3E08" w:rsidRPr="00126B22" w:rsidRDefault="00EA3E08" w:rsidP="00126B22">
      <w:pPr>
        <w:shd w:val="clear" w:color="auto" w:fill="92D050"/>
        <w:spacing w:after="0" w:line="240" w:lineRule="auto"/>
        <w:ind w:firstLine="709"/>
        <w:jc w:val="center"/>
        <w:rPr>
          <w:rFonts w:ascii="Arial" w:eastAsia="SimSun" w:hAnsi="Arial" w:cs="Arial"/>
          <w:b/>
          <w:sz w:val="36"/>
          <w:szCs w:val="36"/>
          <w:lang w:val="it-IT" w:eastAsia="zh-CN"/>
        </w:rPr>
      </w:pPr>
      <w:r w:rsidRPr="00D41E60">
        <w:rPr>
          <w:rFonts w:ascii="Arial" w:eastAsia="SimSun" w:hAnsi="Arial" w:cs="Arial"/>
          <w:b/>
          <w:sz w:val="36"/>
          <w:szCs w:val="36"/>
          <w:lang w:val="it-IT" w:eastAsia="zh-CN"/>
        </w:rPr>
        <w:t xml:space="preserve">TASSA </w:t>
      </w:r>
      <w:r w:rsidR="003862B7">
        <w:rPr>
          <w:rFonts w:ascii="Arial" w:eastAsia="SimSun" w:hAnsi="Arial" w:cs="Arial"/>
          <w:b/>
          <w:sz w:val="36"/>
          <w:szCs w:val="36"/>
          <w:lang w:val="it-IT" w:eastAsia="zh-CN"/>
        </w:rPr>
        <w:t>SULLE TRANSAZIONI FINANZIARIE</w:t>
      </w:r>
      <w:r w:rsidR="0063454A">
        <w:rPr>
          <w:rFonts w:ascii="Arial" w:eastAsia="SimSun" w:hAnsi="Arial" w:cs="Arial"/>
          <w:b/>
          <w:sz w:val="24"/>
          <w:szCs w:val="24"/>
          <w:lang w:val="it-IT" w:eastAsia="zh-CN"/>
        </w:rPr>
        <w:br/>
      </w:r>
      <w:r w:rsidR="00A40867">
        <w:rPr>
          <w:rFonts w:ascii="Arial" w:eastAsia="SimSun" w:hAnsi="Arial" w:cs="Arial"/>
          <w:b/>
          <w:sz w:val="24"/>
          <w:szCs w:val="24"/>
          <w:lang w:val="it-IT" w:eastAsia="zh-CN"/>
        </w:rPr>
        <w:t>Dicembre</w:t>
      </w:r>
      <w:r w:rsidRPr="00006A67">
        <w:rPr>
          <w:rFonts w:ascii="Arial" w:eastAsia="SimSun" w:hAnsi="Arial" w:cs="Arial"/>
          <w:b/>
          <w:sz w:val="24"/>
          <w:szCs w:val="24"/>
          <w:lang w:val="it-IT" w:eastAsia="zh-CN"/>
        </w:rPr>
        <w:t xml:space="preserve"> 2014</w:t>
      </w:r>
    </w:p>
    <w:p w:rsidR="00EA3E08" w:rsidRDefault="00EA3E08" w:rsidP="005B1909">
      <w:pPr>
        <w:spacing w:after="0" w:line="240" w:lineRule="auto"/>
        <w:rPr>
          <w:rFonts w:ascii="Arial" w:eastAsia="SimSun" w:hAnsi="Arial" w:cs="Arial"/>
          <w:b/>
          <w:color w:val="FF0000"/>
          <w:sz w:val="20"/>
          <w:szCs w:val="20"/>
          <w:lang w:val="it-IT" w:eastAsia="zh-CN"/>
        </w:rPr>
      </w:pPr>
    </w:p>
    <w:p w:rsidR="000D5D1D" w:rsidRPr="00006A67" w:rsidRDefault="000D5D1D" w:rsidP="005B1909">
      <w:pPr>
        <w:spacing w:after="0" w:line="240" w:lineRule="auto"/>
        <w:rPr>
          <w:rFonts w:ascii="Arial" w:eastAsia="SimSun" w:hAnsi="Arial" w:cs="Arial"/>
          <w:b/>
          <w:color w:val="FF0000"/>
          <w:sz w:val="20"/>
          <w:szCs w:val="20"/>
          <w:lang w:val="it-IT" w:eastAsia="zh-CN"/>
        </w:rPr>
      </w:pPr>
    </w:p>
    <w:p w:rsidR="003862B7" w:rsidRPr="000D5D1D" w:rsidRDefault="00EA3E08" w:rsidP="00394450">
      <w:pPr>
        <w:shd w:val="clear" w:color="auto" w:fill="92D050"/>
        <w:spacing w:after="160" w:line="240" w:lineRule="auto"/>
        <w:rPr>
          <w:rFonts w:ascii="Arial" w:eastAsia="SimSun" w:hAnsi="Arial" w:cs="Arial"/>
          <w:b/>
          <w:lang w:val="it-IT" w:eastAsia="zh-CN"/>
        </w:rPr>
      </w:pPr>
      <w:r w:rsidRPr="00006A67">
        <w:rPr>
          <w:rFonts w:ascii="Arial" w:eastAsia="SimSun" w:hAnsi="Arial" w:cs="Arial"/>
          <w:b/>
          <w:lang w:val="it-IT" w:eastAsia="zh-CN"/>
        </w:rPr>
        <w:t xml:space="preserve">&gt;&gt; </w:t>
      </w:r>
      <w:r w:rsidR="003862B7">
        <w:rPr>
          <w:rFonts w:ascii="Arial" w:eastAsia="SimSun" w:hAnsi="Arial" w:cs="Arial"/>
          <w:b/>
          <w:lang w:val="it-IT" w:eastAsia="zh-CN"/>
        </w:rPr>
        <w:t>COS’E’ LA TTF</w:t>
      </w:r>
      <w:r w:rsidRPr="00006A67">
        <w:rPr>
          <w:rFonts w:ascii="Arial" w:eastAsia="SimSun" w:hAnsi="Arial" w:cs="Arial"/>
          <w:b/>
          <w:lang w:val="it-IT" w:eastAsia="zh-CN"/>
        </w:rPr>
        <w:t xml:space="preserve">  </w:t>
      </w:r>
    </w:p>
    <w:p w:rsidR="000D5D1D" w:rsidRPr="00AB34E1" w:rsidRDefault="00A05357" w:rsidP="00AB34E1">
      <w:pPr>
        <w:spacing w:after="0" w:line="240" w:lineRule="auto"/>
        <w:jc w:val="both"/>
        <w:rPr>
          <w:rFonts w:ascii="Arial" w:hAnsi="Arial" w:cs="Arial"/>
          <w:b/>
          <w:sz w:val="20"/>
          <w:szCs w:val="20"/>
          <w:lang w:val="it-IT"/>
        </w:rPr>
      </w:pPr>
      <w:r w:rsidRPr="001C4B6C">
        <w:rPr>
          <w:rFonts w:ascii="Arial" w:hAnsi="Arial" w:cs="Arial"/>
          <w:sz w:val="20"/>
          <w:szCs w:val="20"/>
          <w:lang w:val="it-IT" w:eastAsia="it-IT"/>
        </w:rPr>
        <w:t>La Tassa sulle Transazioni Finanziarie</w:t>
      </w:r>
      <w:r w:rsidR="000D5D1D" w:rsidRPr="001C4B6C">
        <w:rPr>
          <w:rStyle w:val="Rimandonotaapidipagina"/>
          <w:rFonts w:ascii="Arial" w:hAnsi="Arial" w:cs="Arial"/>
          <w:sz w:val="20"/>
          <w:szCs w:val="20"/>
          <w:lang w:eastAsia="it-IT"/>
        </w:rPr>
        <w:footnoteReference w:id="1"/>
      </w:r>
      <w:r w:rsidR="000D5D1D" w:rsidRPr="001C4B6C">
        <w:rPr>
          <w:rFonts w:ascii="Arial" w:hAnsi="Arial" w:cs="Arial"/>
          <w:sz w:val="20"/>
          <w:szCs w:val="20"/>
          <w:lang w:val="it-IT" w:eastAsia="it-IT"/>
        </w:rPr>
        <w:t xml:space="preserve"> (TTF</w:t>
      </w:r>
      <w:r w:rsidR="003D331B">
        <w:rPr>
          <w:rFonts w:ascii="Arial" w:hAnsi="Arial" w:cs="Arial"/>
          <w:sz w:val="20"/>
          <w:szCs w:val="20"/>
          <w:lang w:val="it-IT"/>
        </w:rPr>
        <w:t xml:space="preserve">, </w:t>
      </w:r>
      <w:r w:rsidR="00A40867" w:rsidRPr="001C4B6C">
        <w:rPr>
          <w:rFonts w:ascii="Arial" w:hAnsi="Arial" w:cs="Arial"/>
          <w:sz w:val="20"/>
          <w:szCs w:val="20"/>
          <w:lang w:val="it-IT"/>
        </w:rPr>
        <w:t xml:space="preserve">anche conosciuta come Robin Hood </w:t>
      </w:r>
      <w:proofErr w:type="spellStart"/>
      <w:r w:rsidR="00A40867" w:rsidRPr="001C4B6C">
        <w:rPr>
          <w:rFonts w:ascii="Arial" w:hAnsi="Arial" w:cs="Arial"/>
          <w:sz w:val="20"/>
          <w:szCs w:val="20"/>
          <w:lang w:val="it-IT"/>
        </w:rPr>
        <w:t>Tax</w:t>
      </w:r>
      <w:proofErr w:type="spellEnd"/>
      <w:r w:rsidR="000D5D1D" w:rsidRPr="001C4B6C">
        <w:rPr>
          <w:rFonts w:ascii="Arial" w:hAnsi="Arial" w:cs="Arial"/>
          <w:sz w:val="20"/>
          <w:szCs w:val="20"/>
          <w:lang w:val="it-IT" w:eastAsia="it-IT"/>
        </w:rPr>
        <w:t xml:space="preserve">) è un’imposta estremamente ridotta su ogni compravendita di strumenti finanziari: </w:t>
      </w:r>
      <w:r w:rsidR="000D5D1D" w:rsidRPr="001C4B6C">
        <w:rPr>
          <w:rFonts w:ascii="Arial" w:hAnsi="Arial" w:cs="Arial"/>
          <w:sz w:val="20"/>
          <w:szCs w:val="20"/>
          <w:lang w:val="it-IT"/>
        </w:rPr>
        <w:t>non scoraggia i normali investimenti sui mercati, mentre argina gli eccessi di chi acquista e vende titoli migliaia di volte in un solo giorno, anche nell’arco di pochi secondi, per guadagnare sulle piccole oscillazioni del loro valore. Il peso della tassa diventa progressivamente più alto</w:t>
      </w:r>
      <w:r w:rsidR="003D331B">
        <w:rPr>
          <w:rFonts w:ascii="Arial" w:hAnsi="Arial" w:cs="Arial"/>
          <w:sz w:val="20"/>
          <w:szCs w:val="20"/>
          <w:lang w:val="it-IT"/>
        </w:rPr>
        <w:t>,</w:t>
      </w:r>
      <w:r w:rsidR="000D5D1D" w:rsidRPr="001C4B6C">
        <w:rPr>
          <w:rFonts w:ascii="Arial" w:hAnsi="Arial" w:cs="Arial"/>
          <w:sz w:val="20"/>
          <w:szCs w:val="20"/>
          <w:lang w:val="it-IT"/>
        </w:rPr>
        <w:t xml:space="preserve"> tanto più gli ob</w:t>
      </w:r>
      <w:r w:rsidR="001C4B6C">
        <w:rPr>
          <w:rFonts w:ascii="Arial" w:hAnsi="Arial" w:cs="Arial"/>
          <w:sz w:val="20"/>
          <w:szCs w:val="20"/>
          <w:lang w:val="it-IT"/>
        </w:rPr>
        <w:t xml:space="preserve">iettivi sono di breve periodo. </w:t>
      </w:r>
      <w:r w:rsidR="000D5D1D" w:rsidRPr="001C4B6C">
        <w:rPr>
          <w:rFonts w:ascii="Arial" w:hAnsi="Arial" w:cs="Arial"/>
          <w:sz w:val="20"/>
          <w:szCs w:val="20"/>
          <w:lang w:val="it-IT"/>
        </w:rPr>
        <w:t>La TTF si limita a</w:t>
      </w:r>
      <w:r w:rsidR="00362322">
        <w:rPr>
          <w:rFonts w:ascii="Arial" w:hAnsi="Arial" w:cs="Arial"/>
          <w:sz w:val="20"/>
          <w:szCs w:val="20"/>
          <w:lang w:val="it-IT"/>
        </w:rPr>
        <w:t>i</w:t>
      </w:r>
      <w:r w:rsidR="000D5D1D" w:rsidRPr="001C4B6C">
        <w:rPr>
          <w:rFonts w:ascii="Arial" w:hAnsi="Arial" w:cs="Arial"/>
          <w:sz w:val="20"/>
          <w:szCs w:val="20"/>
          <w:lang w:val="it-IT"/>
        </w:rPr>
        <w:t xml:space="preserve"> mercati finanziari (</w:t>
      </w:r>
      <w:r w:rsidR="00362322">
        <w:rPr>
          <w:rFonts w:ascii="Arial" w:hAnsi="Arial" w:cs="Arial"/>
          <w:sz w:val="20"/>
          <w:szCs w:val="20"/>
          <w:lang w:val="it-IT"/>
        </w:rPr>
        <w:t xml:space="preserve">regolamentari e OTC, </w:t>
      </w:r>
      <w:r w:rsidR="000D5D1D" w:rsidRPr="001C4B6C">
        <w:rPr>
          <w:rFonts w:ascii="Arial" w:hAnsi="Arial" w:cs="Arial"/>
          <w:sz w:val="20"/>
          <w:szCs w:val="20"/>
          <w:lang w:val="it-IT"/>
        </w:rPr>
        <w:t xml:space="preserve">escludendo il mercato primario </w:t>
      </w:r>
      <w:r w:rsidR="000D5D1D" w:rsidRPr="001C4B6C">
        <w:rPr>
          <w:rFonts w:ascii="Arial" w:hAnsi="Arial" w:cs="Arial"/>
          <w:sz w:val="20"/>
          <w:szCs w:val="20"/>
          <w:lang w:val="it-IT" w:eastAsia="it-IT"/>
        </w:rPr>
        <w:t>su azioni e obbligazioni, strumenti importanti cui le imprese ricorrono per finanziarsi sui mercati)</w:t>
      </w:r>
      <w:r w:rsidR="00362322">
        <w:rPr>
          <w:rFonts w:ascii="Arial" w:hAnsi="Arial" w:cs="Arial"/>
          <w:sz w:val="20"/>
          <w:szCs w:val="20"/>
          <w:lang w:val="it-IT" w:eastAsia="it-IT"/>
        </w:rPr>
        <w:t xml:space="preserve"> e alle piattaforme multilaterali di negoziazione</w:t>
      </w:r>
      <w:r w:rsidR="000D5D1D" w:rsidRPr="001C4B6C">
        <w:rPr>
          <w:rFonts w:ascii="Arial" w:hAnsi="Arial" w:cs="Arial"/>
          <w:sz w:val="20"/>
          <w:szCs w:val="20"/>
          <w:lang w:val="it-IT"/>
        </w:rPr>
        <w:t xml:space="preserve">. Altri trasferimenti, come ad esempio i pagamenti per beni e servizi, le prestazioni lavorative, le rimesse dei migranti, i prestiti interbancari e ogni operazione delle banche centrali, non verrebbero tassati in alcun modo. Questa tassa rappresenta quindi uno strumento di straordinaria efficacia nello scoraggiare lo </w:t>
      </w:r>
      <w:proofErr w:type="spellStart"/>
      <w:r w:rsidR="000D5D1D" w:rsidRPr="001C4B6C">
        <w:rPr>
          <w:rFonts w:ascii="Arial" w:hAnsi="Arial" w:cs="Arial"/>
          <w:sz w:val="20"/>
          <w:szCs w:val="20"/>
          <w:lang w:val="it-IT"/>
        </w:rPr>
        <w:t>short-termismo</w:t>
      </w:r>
      <w:proofErr w:type="spellEnd"/>
      <w:r w:rsidR="000D5D1D" w:rsidRPr="001C4B6C">
        <w:rPr>
          <w:rFonts w:ascii="Arial" w:hAnsi="Arial" w:cs="Arial"/>
          <w:sz w:val="20"/>
          <w:szCs w:val="20"/>
          <w:lang w:val="it-IT"/>
        </w:rPr>
        <w:t xml:space="preserve"> e, più in generale, </w:t>
      </w:r>
      <w:r w:rsidR="003D331B">
        <w:rPr>
          <w:rFonts w:ascii="Arial" w:hAnsi="Arial" w:cs="Arial"/>
          <w:sz w:val="20"/>
          <w:szCs w:val="20"/>
          <w:lang w:val="it-IT"/>
        </w:rPr>
        <w:t xml:space="preserve">nel </w:t>
      </w:r>
      <w:r w:rsidR="000D5D1D" w:rsidRPr="001C4B6C">
        <w:rPr>
          <w:rFonts w:ascii="Arial" w:hAnsi="Arial" w:cs="Arial"/>
          <w:sz w:val="20"/>
          <w:szCs w:val="20"/>
          <w:lang w:val="it-IT"/>
        </w:rPr>
        <w:t xml:space="preserve">contrastare il “casinò finanziario” e riportare la finanza al suo ruolo originario: non un fine in sé stesso per produrre denaro dal denaro nel più breve tempo possibile, ma un mezzo al servizio dell'economia e della società. </w:t>
      </w:r>
      <w:r w:rsidR="00AB34E1">
        <w:rPr>
          <w:rFonts w:ascii="Arial" w:hAnsi="Arial" w:cs="Arial"/>
          <w:b/>
          <w:sz w:val="20"/>
          <w:szCs w:val="20"/>
          <w:lang w:val="it-IT"/>
        </w:rPr>
        <w:t xml:space="preserve"> </w:t>
      </w:r>
      <w:r w:rsidR="00C33ECB" w:rsidRPr="001C4B6C">
        <w:rPr>
          <w:rFonts w:ascii="Arial" w:hAnsi="Arial" w:cs="Arial"/>
          <w:sz w:val="20"/>
          <w:szCs w:val="20"/>
          <w:lang w:val="it-IT"/>
        </w:rPr>
        <w:t xml:space="preserve">È una tassa giusta e </w:t>
      </w:r>
      <w:r w:rsidR="00F65088" w:rsidRPr="001C4B6C">
        <w:rPr>
          <w:rFonts w:ascii="Arial" w:hAnsi="Arial" w:cs="Arial"/>
          <w:sz w:val="20"/>
          <w:szCs w:val="20"/>
          <w:lang w:val="it-IT"/>
        </w:rPr>
        <w:t>fattibile</w:t>
      </w:r>
      <w:r w:rsidR="00C33ECB" w:rsidRPr="001C4B6C">
        <w:rPr>
          <w:rFonts w:ascii="Arial" w:hAnsi="Arial" w:cs="Arial"/>
          <w:sz w:val="20"/>
          <w:szCs w:val="20"/>
          <w:lang w:val="it-IT"/>
        </w:rPr>
        <w:t xml:space="preserve"> come dimostrato dal sostegno di oltre </w:t>
      </w:r>
      <w:hyperlink r:id="rId8" w:history="1">
        <w:r w:rsidR="00C33ECB" w:rsidRPr="001C4B6C">
          <w:rPr>
            <w:rStyle w:val="Collegamentoipertestuale"/>
            <w:rFonts w:ascii="Arial" w:hAnsi="Arial" w:cs="Arial"/>
            <w:sz w:val="20"/>
            <w:szCs w:val="20"/>
            <w:lang w:val="it-IT"/>
          </w:rPr>
          <w:t>mille economisti</w:t>
        </w:r>
      </w:hyperlink>
      <w:r w:rsidR="00DC5C8B" w:rsidRPr="001C4B6C">
        <w:rPr>
          <w:rStyle w:val="Rimandonotaapidipagina"/>
          <w:rFonts w:ascii="Arial" w:hAnsi="Arial"/>
          <w:sz w:val="20"/>
          <w:szCs w:val="20"/>
          <w:lang w:val="it-IT"/>
        </w:rPr>
        <w:footnoteReference w:id="2"/>
      </w:r>
      <w:r w:rsidR="00C33ECB" w:rsidRPr="001C4B6C">
        <w:rPr>
          <w:rFonts w:ascii="Arial" w:hAnsi="Arial" w:cs="Arial"/>
          <w:sz w:val="20"/>
          <w:szCs w:val="20"/>
          <w:lang w:val="it-IT"/>
        </w:rPr>
        <w:t xml:space="preserve">, tra </w:t>
      </w:r>
      <w:r w:rsidR="00DC5C8B" w:rsidRPr="001C4B6C">
        <w:rPr>
          <w:rFonts w:ascii="Arial" w:hAnsi="Arial" w:cs="Arial"/>
          <w:sz w:val="20"/>
          <w:szCs w:val="20"/>
          <w:lang w:val="it-IT"/>
        </w:rPr>
        <w:t>cui</w:t>
      </w:r>
      <w:r w:rsidR="00C33ECB" w:rsidRPr="001C4B6C">
        <w:rPr>
          <w:rFonts w:ascii="Arial" w:hAnsi="Arial" w:cs="Arial"/>
          <w:sz w:val="20"/>
          <w:szCs w:val="20"/>
          <w:lang w:val="it-IT"/>
        </w:rPr>
        <w:t xml:space="preserve"> </w:t>
      </w:r>
      <w:r w:rsidR="00DC5C8B" w:rsidRPr="001C4B6C">
        <w:rPr>
          <w:rFonts w:ascii="Arial" w:hAnsi="Arial" w:cs="Arial"/>
          <w:sz w:val="20"/>
          <w:szCs w:val="20"/>
          <w:lang w:val="it-IT"/>
        </w:rPr>
        <w:t xml:space="preserve">nomi del calibro di </w:t>
      </w:r>
      <w:r w:rsidR="00DC5C8B" w:rsidRPr="001C4B6C">
        <w:rPr>
          <w:rStyle w:val="Enfasigrassetto"/>
          <w:rFonts w:ascii="Arial" w:hAnsi="Arial" w:cs="Arial"/>
          <w:b w:val="0"/>
          <w:i/>
          <w:sz w:val="20"/>
          <w:szCs w:val="20"/>
          <w:lang w:val="it-IT"/>
        </w:rPr>
        <w:t>Jeffrey Sachs</w:t>
      </w:r>
      <w:r w:rsidR="00DC5C8B" w:rsidRPr="001C4B6C">
        <w:rPr>
          <w:rFonts w:ascii="Arial" w:hAnsi="Arial" w:cs="Arial"/>
          <w:sz w:val="20"/>
          <w:szCs w:val="20"/>
          <w:lang w:val="it-IT"/>
        </w:rPr>
        <w:t xml:space="preserve">, </w:t>
      </w:r>
      <w:r w:rsidR="00A40867" w:rsidRPr="001C4B6C">
        <w:rPr>
          <w:rStyle w:val="Enfasigrassetto"/>
          <w:rFonts w:ascii="Arial" w:hAnsi="Arial" w:cs="Arial"/>
          <w:b w:val="0"/>
          <w:i/>
          <w:sz w:val="20"/>
          <w:szCs w:val="20"/>
          <w:lang w:val="it-IT"/>
        </w:rPr>
        <w:t xml:space="preserve">Tony </w:t>
      </w:r>
      <w:proofErr w:type="spellStart"/>
      <w:r w:rsidR="00A40867" w:rsidRPr="001C4B6C">
        <w:rPr>
          <w:rStyle w:val="Enfasigrassetto"/>
          <w:rFonts w:ascii="Arial" w:hAnsi="Arial" w:cs="Arial"/>
          <w:b w:val="0"/>
          <w:i/>
          <w:sz w:val="20"/>
          <w:szCs w:val="20"/>
          <w:lang w:val="it-IT"/>
        </w:rPr>
        <w:t>At</w:t>
      </w:r>
      <w:r w:rsidR="00DC5C8B" w:rsidRPr="001C4B6C">
        <w:rPr>
          <w:rStyle w:val="Enfasigrassetto"/>
          <w:rFonts w:ascii="Arial" w:hAnsi="Arial" w:cs="Arial"/>
          <w:b w:val="0"/>
          <w:i/>
          <w:sz w:val="20"/>
          <w:szCs w:val="20"/>
          <w:lang w:val="it-IT"/>
        </w:rPr>
        <w:t>k</w:t>
      </w:r>
      <w:r w:rsidR="00A40867" w:rsidRPr="001C4B6C">
        <w:rPr>
          <w:rStyle w:val="Enfasigrassetto"/>
          <w:rFonts w:ascii="Arial" w:hAnsi="Arial" w:cs="Arial"/>
          <w:b w:val="0"/>
          <w:i/>
          <w:sz w:val="20"/>
          <w:szCs w:val="20"/>
          <w:lang w:val="it-IT"/>
        </w:rPr>
        <w:t>i</w:t>
      </w:r>
      <w:r w:rsidR="00DC5C8B" w:rsidRPr="001C4B6C">
        <w:rPr>
          <w:rStyle w:val="Enfasigrassetto"/>
          <w:rFonts w:ascii="Arial" w:hAnsi="Arial" w:cs="Arial"/>
          <w:b w:val="0"/>
          <w:i/>
          <w:sz w:val="20"/>
          <w:szCs w:val="20"/>
          <w:lang w:val="it-IT"/>
        </w:rPr>
        <w:t>nson</w:t>
      </w:r>
      <w:proofErr w:type="spellEnd"/>
      <w:r w:rsidR="00DC5C8B" w:rsidRPr="001C4B6C">
        <w:rPr>
          <w:rFonts w:ascii="Arial" w:hAnsi="Arial" w:cs="Arial"/>
          <w:sz w:val="20"/>
          <w:szCs w:val="20"/>
          <w:lang w:val="it-IT"/>
        </w:rPr>
        <w:t xml:space="preserve">, </w:t>
      </w:r>
      <w:r w:rsidR="00DC5C8B" w:rsidRPr="001C4B6C">
        <w:rPr>
          <w:rStyle w:val="Enfasigrassetto"/>
          <w:rFonts w:ascii="Arial" w:hAnsi="Arial" w:cs="Arial"/>
          <w:b w:val="0"/>
          <w:i/>
          <w:sz w:val="20"/>
          <w:szCs w:val="20"/>
          <w:lang w:val="it-IT"/>
        </w:rPr>
        <w:t xml:space="preserve">Dani </w:t>
      </w:r>
      <w:proofErr w:type="spellStart"/>
      <w:r w:rsidR="00DC5C8B" w:rsidRPr="001C4B6C">
        <w:rPr>
          <w:rStyle w:val="Enfasigrassetto"/>
          <w:rFonts w:ascii="Arial" w:hAnsi="Arial" w:cs="Arial"/>
          <w:b w:val="0"/>
          <w:i/>
          <w:sz w:val="20"/>
          <w:szCs w:val="20"/>
          <w:lang w:val="it-IT"/>
        </w:rPr>
        <w:t>Rodrik</w:t>
      </w:r>
      <w:proofErr w:type="spellEnd"/>
      <w:r w:rsidR="00DC5C8B" w:rsidRPr="001C4B6C">
        <w:rPr>
          <w:rFonts w:ascii="Arial" w:hAnsi="Arial" w:cs="Arial"/>
          <w:sz w:val="20"/>
          <w:szCs w:val="20"/>
          <w:lang w:val="it-IT"/>
        </w:rPr>
        <w:t xml:space="preserve"> </w:t>
      </w:r>
      <w:r w:rsidR="00C33ECB" w:rsidRPr="001C4B6C">
        <w:rPr>
          <w:rFonts w:ascii="Arial" w:hAnsi="Arial" w:cs="Arial"/>
          <w:sz w:val="20"/>
          <w:szCs w:val="20"/>
          <w:lang w:val="it-IT"/>
        </w:rPr>
        <w:t>che</w:t>
      </w:r>
      <w:r w:rsidR="003D331B">
        <w:rPr>
          <w:rFonts w:ascii="Arial" w:hAnsi="Arial" w:cs="Arial"/>
          <w:sz w:val="20"/>
          <w:szCs w:val="20"/>
          <w:lang w:val="it-IT"/>
        </w:rPr>
        <w:t>,</w:t>
      </w:r>
      <w:r w:rsidR="00C33ECB" w:rsidRPr="001C4B6C">
        <w:rPr>
          <w:rFonts w:ascii="Arial" w:hAnsi="Arial" w:cs="Arial"/>
          <w:sz w:val="20"/>
          <w:szCs w:val="20"/>
          <w:lang w:val="it-IT"/>
        </w:rPr>
        <w:t xml:space="preserve"> fin dal 2011</w:t>
      </w:r>
      <w:r w:rsidR="003D331B">
        <w:rPr>
          <w:rFonts w:ascii="Arial" w:hAnsi="Arial" w:cs="Arial"/>
          <w:sz w:val="20"/>
          <w:szCs w:val="20"/>
          <w:lang w:val="it-IT"/>
        </w:rPr>
        <w:t>,</w:t>
      </w:r>
      <w:r w:rsidR="00C33ECB" w:rsidRPr="001C4B6C">
        <w:rPr>
          <w:rFonts w:ascii="Arial" w:hAnsi="Arial" w:cs="Arial"/>
          <w:sz w:val="20"/>
          <w:szCs w:val="20"/>
          <w:lang w:val="it-IT"/>
        </w:rPr>
        <w:t xml:space="preserve"> si sono schierati a favore della sua introduzione.</w:t>
      </w:r>
    </w:p>
    <w:p w:rsidR="000D5D1D" w:rsidRPr="001C4B6C" w:rsidRDefault="000D5D1D" w:rsidP="005B1909">
      <w:pPr>
        <w:widowControl w:val="0"/>
        <w:suppressAutoHyphens/>
        <w:spacing w:after="0" w:line="240" w:lineRule="auto"/>
        <w:rPr>
          <w:rFonts w:ascii="Arial" w:hAnsi="Arial" w:cs="Arial"/>
          <w:sz w:val="20"/>
          <w:szCs w:val="20"/>
          <w:lang w:val="it-IT"/>
        </w:rPr>
      </w:pPr>
    </w:p>
    <w:p w:rsidR="0063454A" w:rsidRPr="0063454A" w:rsidRDefault="0063454A" w:rsidP="005B1909">
      <w:pPr>
        <w:widowControl w:val="0"/>
        <w:suppressAutoHyphens/>
        <w:spacing w:after="0" w:line="240" w:lineRule="auto"/>
        <w:rPr>
          <w:rFonts w:ascii="Arial" w:hAnsi="Arial" w:cs="Arial"/>
          <w:sz w:val="14"/>
          <w:szCs w:val="14"/>
          <w:lang w:val="it-IT"/>
        </w:rPr>
      </w:pPr>
    </w:p>
    <w:p w:rsidR="000D5D1D" w:rsidRPr="000D5D1D" w:rsidRDefault="000D5D1D" w:rsidP="00394450">
      <w:pPr>
        <w:shd w:val="clear" w:color="auto" w:fill="92D050"/>
        <w:spacing w:after="160" w:line="240" w:lineRule="auto"/>
        <w:rPr>
          <w:rFonts w:ascii="Arial" w:eastAsia="SimSun" w:hAnsi="Arial" w:cs="Arial"/>
          <w:b/>
          <w:lang w:val="it-IT" w:eastAsia="zh-CN"/>
        </w:rPr>
      </w:pPr>
      <w:r w:rsidRPr="00006A67">
        <w:rPr>
          <w:rFonts w:ascii="Arial" w:eastAsia="SimSun" w:hAnsi="Arial" w:cs="Arial"/>
          <w:b/>
          <w:lang w:val="it-IT" w:eastAsia="zh-CN"/>
        </w:rPr>
        <w:t xml:space="preserve">&gt;&gt; </w:t>
      </w:r>
      <w:r>
        <w:rPr>
          <w:rFonts w:ascii="Arial" w:eastAsia="SimSun" w:hAnsi="Arial" w:cs="Arial"/>
          <w:b/>
          <w:lang w:val="it-IT" w:eastAsia="zh-CN"/>
        </w:rPr>
        <w:t>COSA STA SUCCEDENDO IN EUROPA</w:t>
      </w:r>
      <w:r w:rsidRPr="00006A67">
        <w:rPr>
          <w:rFonts w:ascii="Arial" w:eastAsia="SimSun" w:hAnsi="Arial" w:cs="Arial"/>
          <w:b/>
          <w:lang w:val="it-IT" w:eastAsia="zh-CN"/>
        </w:rPr>
        <w:t xml:space="preserve"> </w:t>
      </w:r>
    </w:p>
    <w:p w:rsidR="00A40867" w:rsidRPr="001C4B6C" w:rsidRDefault="00A40867" w:rsidP="001C4B6C">
      <w:pPr>
        <w:widowControl w:val="0"/>
        <w:suppressAutoHyphens/>
        <w:spacing w:after="0" w:line="240" w:lineRule="auto"/>
        <w:jc w:val="both"/>
        <w:rPr>
          <w:rFonts w:ascii="Arial" w:hAnsi="Arial" w:cs="Arial"/>
          <w:sz w:val="20"/>
          <w:szCs w:val="20"/>
          <w:lang w:val="it-IT"/>
        </w:rPr>
      </w:pPr>
      <w:r w:rsidRPr="001C4B6C">
        <w:rPr>
          <w:rFonts w:ascii="Arial" w:hAnsi="Arial" w:cs="Arial"/>
          <w:sz w:val="20"/>
          <w:szCs w:val="20"/>
          <w:lang w:val="it-IT"/>
        </w:rPr>
        <w:t>Nel 2012 undici Paesi europei</w:t>
      </w:r>
      <w:r w:rsidR="001C4B6C" w:rsidRPr="001C4B6C">
        <w:rPr>
          <w:rFonts w:ascii="Arial" w:hAnsi="Arial" w:cs="Arial"/>
          <w:sz w:val="20"/>
          <w:szCs w:val="20"/>
          <w:vertAlign w:val="superscript"/>
        </w:rPr>
        <w:footnoteReference w:id="3"/>
      </w:r>
      <w:r w:rsidR="001C4B6C" w:rsidRPr="001C4B6C">
        <w:rPr>
          <w:rFonts w:ascii="Arial" w:hAnsi="Arial" w:cs="Arial"/>
          <w:sz w:val="20"/>
          <w:szCs w:val="20"/>
          <w:lang w:val="it-IT"/>
        </w:rPr>
        <w:t xml:space="preserve"> </w:t>
      </w:r>
      <w:r w:rsidRPr="001C4B6C">
        <w:rPr>
          <w:rFonts w:ascii="Arial" w:hAnsi="Arial" w:cs="Arial"/>
          <w:sz w:val="20"/>
          <w:szCs w:val="20"/>
          <w:lang w:val="it-IT"/>
        </w:rPr>
        <w:t xml:space="preserve">si sono impegnati ad introdurre una TTF in Europa attraverso la procedura di cooperazione rafforzata che rimane ad ogni modo aperta alla partecipazione di altri Stati Membri che intendano aderirvi in una fase successiva. </w:t>
      </w:r>
    </w:p>
    <w:p w:rsidR="000D5D1D" w:rsidRPr="001C4B6C" w:rsidRDefault="000D5D1D" w:rsidP="001C4B6C">
      <w:pPr>
        <w:widowControl w:val="0"/>
        <w:suppressAutoHyphens/>
        <w:spacing w:after="0" w:line="240" w:lineRule="auto"/>
        <w:jc w:val="both"/>
        <w:rPr>
          <w:rFonts w:ascii="Arial" w:hAnsi="Arial" w:cs="Arial"/>
          <w:sz w:val="20"/>
          <w:szCs w:val="20"/>
          <w:lang w:val="it-IT"/>
        </w:rPr>
      </w:pPr>
      <w:r w:rsidRPr="001C4B6C">
        <w:rPr>
          <w:rFonts w:ascii="Arial" w:hAnsi="Arial" w:cs="Arial"/>
          <w:sz w:val="20"/>
          <w:szCs w:val="20"/>
          <w:lang w:val="it-IT"/>
        </w:rPr>
        <w:t xml:space="preserve">Questa piccolissima tassa potrebbe generare fino a </w:t>
      </w:r>
      <w:r w:rsidR="00AB34E1">
        <w:rPr>
          <w:rFonts w:ascii="Arial" w:hAnsi="Arial" w:cs="Arial"/>
          <w:sz w:val="20"/>
          <w:szCs w:val="20"/>
          <w:lang w:val="it-IT"/>
        </w:rPr>
        <w:t xml:space="preserve">35 </w:t>
      </w:r>
      <w:r w:rsidRPr="001C4B6C">
        <w:rPr>
          <w:rFonts w:ascii="Arial" w:hAnsi="Arial" w:cs="Arial"/>
          <w:sz w:val="20"/>
          <w:szCs w:val="20"/>
          <w:lang w:val="it-IT"/>
        </w:rPr>
        <w:t>miliardi di euro</w:t>
      </w:r>
      <w:r w:rsidR="00362322">
        <w:rPr>
          <w:rFonts w:ascii="Arial" w:hAnsi="Arial" w:cs="Arial"/>
          <w:sz w:val="20"/>
          <w:szCs w:val="20"/>
          <w:lang w:val="it-IT"/>
        </w:rPr>
        <w:t xml:space="preserve"> su base annua</w:t>
      </w:r>
      <w:r w:rsidR="00AB34E1" w:rsidRPr="001C4B6C">
        <w:rPr>
          <w:rFonts w:ascii="Arial" w:hAnsi="Arial" w:cs="Arial"/>
          <w:sz w:val="20"/>
          <w:szCs w:val="20"/>
          <w:vertAlign w:val="superscript"/>
        </w:rPr>
        <w:footnoteReference w:id="4"/>
      </w:r>
      <w:r w:rsidRPr="001C4B6C">
        <w:rPr>
          <w:rFonts w:ascii="Arial" w:hAnsi="Arial" w:cs="Arial"/>
          <w:sz w:val="20"/>
          <w:szCs w:val="20"/>
          <w:lang w:val="it-IT"/>
        </w:rPr>
        <w:t>.</w:t>
      </w:r>
      <w:r w:rsidR="0063454A" w:rsidRPr="001C4B6C">
        <w:rPr>
          <w:rFonts w:ascii="Arial" w:hAnsi="Arial" w:cs="Arial"/>
          <w:sz w:val="20"/>
          <w:szCs w:val="20"/>
          <w:lang w:val="it-IT"/>
        </w:rPr>
        <w:t xml:space="preserve"> Per l’Italia vi sono analisi che stimano un gettito </w:t>
      </w:r>
      <w:r w:rsidR="00362322">
        <w:rPr>
          <w:rFonts w:ascii="Arial" w:hAnsi="Arial" w:cs="Arial"/>
          <w:sz w:val="20"/>
          <w:szCs w:val="20"/>
          <w:lang w:val="it-IT"/>
        </w:rPr>
        <w:t xml:space="preserve">annuo tra i </w:t>
      </w:r>
      <w:r w:rsidR="0063454A" w:rsidRPr="001C4B6C">
        <w:rPr>
          <w:rFonts w:ascii="Arial" w:hAnsi="Arial" w:cs="Arial"/>
          <w:sz w:val="20"/>
          <w:szCs w:val="20"/>
          <w:lang w:val="it-IT"/>
        </w:rPr>
        <w:t xml:space="preserve"> 5 </w:t>
      </w:r>
      <w:r w:rsidR="00362322">
        <w:rPr>
          <w:rFonts w:ascii="Arial" w:hAnsi="Arial" w:cs="Arial"/>
          <w:sz w:val="20"/>
          <w:szCs w:val="20"/>
          <w:lang w:val="it-IT"/>
        </w:rPr>
        <w:t>e i</w:t>
      </w:r>
      <w:r w:rsidR="0063454A" w:rsidRPr="001C4B6C">
        <w:rPr>
          <w:rFonts w:ascii="Arial" w:hAnsi="Arial" w:cs="Arial"/>
          <w:sz w:val="20"/>
          <w:szCs w:val="20"/>
          <w:lang w:val="it-IT"/>
        </w:rPr>
        <w:t xml:space="preserve"> 6 miliardi </w:t>
      </w:r>
      <w:r w:rsidR="00362322">
        <w:rPr>
          <w:rFonts w:ascii="Arial" w:hAnsi="Arial" w:cs="Arial"/>
          <w:sz w:val="20"/>
          <w:szCs w:val="20"/>
          <w:lang w:val="it-IT"/>
        </w:rPr>
        <w:t xml:space="preserve">di euro </w:t>
      </w:r>
      <w:r w:rsidR="0063454A" w:rsidRPr="001C4B6C">
        <w:rPr>
          <w:rFonts w:ascii="Arial" w:hAnsi="Arial" w:cs="Arial"/>
          <w:sz w:val="20"/>
          <w:szCs w:val="20"/>
          <w:lang w:val="it-IT"/>
        </w:rPr>
        <w:t>circa</w:t>
      </w:r>
      <w:r w:rsidR="0063454A" w:rsidRPr="001C4B6C">
        <w:rPr>
          <w:rStyle w:val="Rimandonotaapidipagina"/>
          <w:rFonts w:ascii="Arial" w:hAnsi="Arial"/>
          <w:sz w:val="20"/>
          <w:szCs w:val="20"/>
          <w:lang w:val="it-IT"/>
        </w:rPr>
        <w:footnoteReference w:id="5"/>
      </w:r>
      <w:r w:rsidR="0063454A" w:rsidRPr="001C4B6C">
        <w:rPr>
          <w:rFonts w:ascii="Arial" w:hAnsi="Arial" w:cs="Arial"/>
          <w:sz w:val="20"/>
          <w:szCs w:val="20"/>
          <w:lang w:val="it-IT"/>
        </w:rPr>
        <w:t>.</w:t>
      </w:r>
      <w:r w:rsidRPr="001C4B6C">
        <w:rPr>
          <w:rFonts w:ascii="Arial" w:hAnsi="Arial" w:cs="Arial"/>
          <w:sz w:val="20"/>
          <w:szCs w:val="20"/>
          <w:lang w:val="it-IT"/>
        </w:rPr>
        <w:t xml:space="preserve"> Risorse importanti che potrebbero essere usate dai Governi per contribuire al rilancio delle politiche sociali</w:t>
      </w:r>
      <w:r w:rsidR="003D331B">
        <w:rPr>
          <w:rFonts w:ascii="Arial" w:hAnsi="Arial" w:cs="Arial"/>
          <w:sz w:val="20"/>
          <w:szCs w:val="20"/>
          <w:lang w:val="it-IT"/>
        </w:rPr>
        <w:t>,</w:t>
      </w:r>
      <w:r w:rsidR="00A40867" w:rsidRPr="001C4B6C">
        <w:rPr>
          <w:rFonts w:ascii="Arial" w:hAnsi="Arial" w:cs="Arial"/>
          <w:sz w:val="20"/>
          <w:szCs w:val="20"/>
          <w:lang w:val="it-IT"/>
        </w:rPr>
        <w:t xml:space="preserve"> facendo fronte ai crescenti livelli di disuguaglianze nei propri Paesi</w:t>
      </w:r>
      <w:r w:rsidRPr="001C4B6C">
        <w:rPr>
          <w:rFonts w:ascii="Arial" w:hAnsi="Arial" w:cs="Arial"/>
          <w:sz w:val="20"/>
          <w:szCs w:val="20"/>
          <w:lang w:val="it-IT"/>
        </w:rPr>
        <w:t>, nonc</w:t>
      </w:r>
      <w:r w:rsidR="003D331B">
        <w:rPr>
          <w:rFonts w:ascii="Arial" w:hAnsi="Arial" w:cs="Arial"/>
          <w:sz w:val="20"/>
          <w:szCs w:val="20"/>
          <w:lang w:val="it-IT"/>
        </w:rPr>
        <w:t xml:space="preserve">hé per obiettivi internazionali, </w:t>
      </w:r>
      <w:r w:rsidRPr="001C4B6C">
        <w:rPr>
          <w:rFonts w:ascii="Arial" w:hAnsi="Arial" w:cs="Arial"/>
          <w:sz w:val="20"/>
          <w:szCs w:val="20"/>
          <w:lang w:val="it-IT"/>
        </w:rPr>
        <w:t>destinando una percentuale di questo gettito alle poli</w:t>
      </w:r>
      <w:r w:rsidR="00313F16">
        <w:rPr>
          <w:rFonts w:ascii="Arial" w:hAnsi="Arial" w:cs="Arial"/>
          <w:sz w:val="20"/>
          <w:szCs w:val="20"/>
          <w:lang w:val="it-IT"/>
        </w:rPr>
        <w:t>tiche per combattere</w:t>
      </w:r>
      <w:r w:rsidRPr="001C4B6C">
        <w:rPr>
          <w:rFonts w:ascii="Arial" w:hAnsi="Arial" w:cs="Arial"/>
          <w:sz w:val="20"/>
          <w:szCs w:val="20"/>
          <w:lang w:val="it-IT"/>
        </w:rPr>
        <w:t xml:space="preserve"> </w:t>
      </w:r>
      <w:r w:rsidR="00313F16">
        <w:rPr>
          <w:rFonts w:ascii="Arial" w:hAnsi="Arial" w:cs="Arial"/>
          <w:sz w:val="20"/>
          <w:szCs w:val="20"/>
          <w:lang w:val="it-IT"/>
        </w:rPr>
        <w:t xml:space="preserve">la </w:t>
      </w:r>
      <w:r w:rsidRPr="001C4B6C">
        <w:rPr>
          <w:rFonts w:ascii="Arial" w:hAnsi="Arial" w:cs="Arial"/>
          <w:sz w:val="20"/>
          <w:szCs w:val="20"/>
          <w:lang w:val="it-IT"/>
        </w:rPr>
        <w:t>povertà globale e i cambiamenti climatici.</w:t>
      </w:r>
    </w:p>
    <w:p w:rsidR="0063454A" w:rsidRPr="001C4B6C" w:rsidRDefault="00A40867" w:rsidP="001C4B6C">
      <w:pPr>
        <w:widowControl w:val="0"/>
        <w:suppressAutoHyphens/>
        <w:spacing w:after="0" w:line="240" w:lineRule="auto"/>
        <w:jc w:val="both"/>
        <w:rPr>
          <w:rFonts w:ascii="Arial" w:hAnsi="Arial" w:cs="Arial"/>
          <w:sz w:val="20"/>
          <w:szCs w:val="20"/>
          <w:lang w:val="it-IT"/>
        </w:rPr>
      </w:pPr>
      <w:r w:rsidRPr="001C4B6C">
        <w:rPr>
          <w:rFonts w:ascii="Arial" w:hAnsi="Arial" w:cs="Arial"/>
          <w:sz w:val="20"/>
          <w:szCs w:val="20"/>
          <w:lang w:val="it-IT"/>
        </w:rPr>
        <w:t>Lo schema di tassa proposto dalla Commissione Europea</w:t>
      </w:r>
      <w:r w:rsidR="00362322">
        <w:rPr>
          <w:rFonts w:ascii="Arial" w:hAnsi="Arial" w:cs="Arial"/>
          <w:sz w:val="20"/>
          <w:szCs w:val="20"/>
          <w:lang w:val="it-IT"/>
        </w:rPr>
        <w:t xml:space="preserve"> nel 2013</w:t>
      </w:r>
      <w:r w:rsidR="00313F16">
        <w:rPr>
          <w:rFonts w:ascii="Arial" w:hAnsi="Arial" w:cs="Arial"/>
          <w:sz w:val="20"/>
          <w:szCs w:val="20"/>
          <w:lang w:val="it-IT"/>
        </w:rPr>
        <w:t xml:space="preserve">, </w:t>
      </w:r>
      <w:r w:rsidRPr="001C4B6C">
        <w:rPr>
          <w:rFonts w:ascii="Arial" w:hAnsi="Arial" w:cs="Arial"/>
          <w:sz w:val="20"/>
          <w:szCs w:val="20"/>
          <w:lang w:val="it-IT"/>
        </w:rPr>
        <w:t>ora oggetto di negoziato è efficace ma in queste settimane si sta assistendo ad un preoccupante stallo negoziale che, per via di interessi delle lobby finanziarie, ne sta minando fortemente i risultati.</w:t>
      </w:r>
    </w:p>
    <w:p w:rsidR="00A40867" w:rsidRPr="00394450" w:rsidRDefault="00394450" w:rsidP="001C4B6C">
      <w:pPr>
        <w:widowControl w:val="0"/>
        <w:suppressAutoHyphens/>
        <w:spacing w:after="0" w:line="240" w:lineRule="auto"/>
        <w:jc w:val="both"/>
        <w:rPr>
          <w:rFonts w:ascii="Arial" w:hAnsi="Arial" w:cs="Arial"/>
          <w:sz w:val="20"/>
          <w:szCs w:val="20"/>
          <w:lang w:val="it-IT"/>
        </w:rPr>
      </w:pPr>
      <w:r w:rsidRPr="001C4B6C">
        <w:rPr>
          <w:rFonts w:ascii="Arial" w:hAnsi="Arial" w:cs="Arial"/>
          <w:sz w:val="20"/>
          <w:szCs w:val="20"/>
          <w:lang w:val="it-IT"/>
        </w:rPr>
        <w:t>Il 6 maggio 2014 i Paesi UE interessati dal negoziato si</w:t>
      </w:r>
      <w:r>
        <w:rPr>
          <w:rFonts w:ascii="Arial" w:hAnsi="Arial" w:cs="Arial"/>
          <w:sz w:val="20"/>
          <w:szCs w:val="20"/>
          <w:lang w:val="it-IT"/>
        </w:rPr>
        <w:t xml:space="preserve"> sono impegnati pubblicamente a trovare un accordo </w:t>
      </w:r>
      <w:r w:rsidR="00313F16">
        <w:rPr>
          <w:rFonts w:ascii="Arial" w:hAnsi="Arial" w:cs="Arial"/>
          <w:sz w:val="20"/>
          <w:szCs w:val="20"/>
          <w:lang w:val="it-IT"/>
        </w:rPr>
        <w:t xml:space="preserve">entro la fine dell’anno </w:t>
      </w:r>
      <w:r>
        <w:rPr>
          <w:rFonts w:ascii="Arial" w:hAnsi="Arial" w:cs="Arial"/>
          <w:sz w:val="20"/>
          <w:szCs w:val="20"/>
          <w:lang w:val="it-IT"/>
        </w:rPr>
        <w:t xml:space="preserve">sul modello di implementazione della tassa da applicare in una prima fase alle azioni ed ad alcuni strumenti derivati. </w:t>
      </w:r>
      <w:r w:rsidR="00A40867" w:rsidRPr="001C4B6C">
        <w:rPr>
          <w:rFonts w:ascii="Arial" w:hAnsi="Arial" w:cs="Arial"/>
          <w:sz w:val="20"/>
          <w:szCs w:val="20"/>
          <w:lang w:val="it-IT"/>
        </w:rPr>
        <w:t xml:space="preserve">Un annuncio sui risultati di questo negoziato </w:t>
      </w:r>
      <w:r w:rsidR="00313F16">
        <w:rPr>
          <w:rFonts w:ascii="Arial" w:hAnsi="Arial" w:cs="Arial"/>
          <w:sz w:val="20"/>
          <w:szCs w:val="20"/>
          <w:lang w:val="it-IT"/>
        </w:rPr>
        <w:t xml:space="preserve">è atteso per il 9 dicembre p.v., </w:t>
      </w:r>
      <w:r w:rsidR="00A40867" w:rsidRPr="001C4B6C">
        <w:rPr>
          <w:rFonts w:ascii="Arial" w:hAnsi="Arial" w:cs="Arial"/>
          <w:sz w:val="20"/>
          <w:szCs w:val="20"/>
          <w:lang w:val="it-IT"/>
        </w:rPr>
        <w:t xml:space="preserve">in occasione del Consiglio Europeo dei Ministri delle Finanze, tuttavia le notizie di questi ultimi mesi non lasciano ben sperare. </w:t>
      </w:r>
      <w:r w:rsidR="00A40867" w:rsidRPr="001C4B6C">
        <w:rPr>
          <w:rFonts w:ascii="Arial" w:hAnsi="Arial" w:cs="Arial"/>
          <w:sz w:val="20"/>
          <w:szCs w:val="20"/>
          <w:shd w:val="clear" w:color="auto" w:fill="FFFFFF"/>
          <w:lang w:val="it-IT"/>
        </w:rPr>
        <w:t>Il negoziato sulla TTF rischia di venir svilito nella sua portata e reso inefficace</w:t>
      </w:r>
      <w:r w:rsidR="00313F16">
        <w:rPr>
          <w:rFonts w:ascii="Arial" w:hAnsi="Arial" w:cs="Arial"/>
          <w:sz w:val="20"/>
          <w:szCs w:val="20"/>
          <w:shd w:val="clear" w:color="auto" w:fill="FFFFFF"/>
          <w:lang w:val="it-IT"/>
        </w:rPr>
        <w:t>,</w:t>
      </w:r>
      <w:r w:rsidR="00A40867" w:rsidRPr="001C4B6C">
        <w:rPr>
          <w:rFonts w:ascii="Arial" w:hAnsi="Arial" w:cs="Arial"/>
          <w:sz w:val="20"/>
          <w:szCs w:val="20"/>
          <w:shd w:val="clear" w:color="auto" w:fill="FFFFFF"/>
          <w:lang w:val="it-IT"/>
        </w:rPr>
        <w:t xml:space="preserve"> se non si disegna un modello di imposta con ampia base imponibile, applicabile quindi </w:t>
      </w:r>
      <w:r w:rsidR="00A40867" w:rsidRPr="001C4B6C">
        <w:rPr>
          <w:rFonts w:ascii="Arial" w:hAnsi="Arial" w:cs="Arial"/>
          <w:i/>
          <w:sz w:val="20"/>
          <w:szCs w:val="20"/>
          <w:shd w:val="clear" w:color="auto" w:fill="FFFFFF"/>
          <w:lang w:val="it-IT"/>
        </w:rPr>
        <w:t>i)</w:t>
      </w:r>
      <w:r w:rsidR="00A40867" w:rsidRPr="001C4B6C">
        <w:rPr>
          <w:rFonts w:ascii="Arial" w:hAnsi="Arial" w:cs="Arial"/>
          <w:sz w:val="20"/>
          <w:szCs w:val="20"/>
          <w:shd w:val="clear" w:color="auto" w:fill="FFFFFF"/>
          <w:lang w:val="it-IT"/>
        </w:rPr>
        <w:t xml:space="preserve"> al più variegato spettro di strumenti finanziari (in particolare ai derivati che sono al momento oggetto di acceso dibattito tra gli Stati Membri)  </w:t>
      </w:r>
      <w:r w:rsidR="00A40867" w:rsidRPr="001C4B6C">
        <w:rPr>
          <w:rFonts w:ascii="Arial" w:hAnsi="Arial" w:cs="Arial"/>
          <w:i/>
          <w:sz w:val="20"/>
          <w:szCs w:val="20"/>
          <w:shd w:val="clear" w:color="auto" w:fill="FFFFFF"/>
          <w:lang w:val="it-IT"/>
        </w:rPr>
        <w:t>ii)</w:t>
      </w:r>
      <w:r w:rsidR="00A40867" w:rsidRPr="001C4B6C">
        <w:rPr>
          <w:rFonts w:ascii="Arial" w:hAnsi="Arial" w:cs="Arial"/>
          <w:sz w:val="20"/>
          <w:szCs w:val="20"/>
          <w:shd w:val="clear" w:color="auto" w:fill="FFFFFF"/>
          <w:lang w:val="it-IT"/>
        </w:rPr>
        <w:t xml:space="preserve"> secondo il principio di residenza del </w:t>
      </w:r>
      <w:proofErr w:type="spellStart"/>
      <w:r w:rsidR="00A40867" w:rsidRPr="001C4B6C">
        <w:rPr>
          <w:rStyle w:val="Enfasicorsivo"/>
          <w:rFonts w:ascii="Arial" w:hAnsi="Arial" w:cs="Arial"/>
          <w:sz w:val="20"/>
          <w:szCs w:val="20"/>
          <w:shd w:val="clear" w:color="auto" w:fill="FFFFFF"/>
          <w:lang w:val="it-IT"/>
        </w:rPr>
        <w:t>beneficial</w:t>
      </w:r>
      <w:proofErr w:type="spellEnd"/>
      <w:r w:rsidR="00A40867" w:rsidRPr="001C4B6C">
        <w:rPr>
          <w:rStyle w:val="Enfasicorsivo"/>
          <w:rFonts w:ascii="Arial" w:hAnsi="Arial" w:cs="Arial"/>
          <w:sz w:val="20"/>
          <w:szCs w:val="20"/>
          <w:shd w:val="clear" w:color="auto" w:fill="FFFFFF"/>
          <w:lang w:val="it-IT"/>
        </w:rPr>
        <w:t xml:space="preserve"> </w:t>
      </w:r>
      <w:proofErr w:type="spellStart"/>
      <w:r w:rsidR="00A40867" w:rsidRPr="001C4B6C">
        <w:rPr>
          <w:rStyle w:val="Enfasicorsivo"/>
          <w:rFonts w:ascii="Arial" w:hAnsi="Arial" w:cs="Arial"/>
          <w:sz w:val="20"/>
          <w:szCs w:val="20"/>
          <w:shd w:val="clear" w:color="auto" w:fill="FFFFFF"/>
          <w:lang w:val="it-IT"/>
        </w:rPr>
        <w:t>owner</w:t>
      </w:r>
      <w:proofErr w:type="spellEnd"/>
      <w:r w:rsidR="00A40867" w:rsidRPr="001C4B6C">
        <w:rPr>
          <w:rStyle w:val="Enfasicorsivo"/>
          <w:rFonts w:ascii="Arial" w:hAnsi="Arial" w:cs="Arial"/>
          <w:sz w:val="20"/>
          <w:szCs w:val="20"/>
          <w:shd w:val="clear" w:color="auto" w:fill="FFFFFF"/>
          <w:lang w:val="it-IT"/>
        </w:rPr>
        <w:t> </w:t>
      </w:r>
      <w:r w:rsidR="00A40867" w:rsidRPr="001C4B6C">
        <w:rPr>
          <w:rFonts w:ascii="Arial" w:hAnsi="Arial" w:cs="Arial"/>
          <w:sz w:val="20"/>
          <w:szCs w:val="20"/>
          <w:shd w:val="clear" w:color="auto" w:fill="FFFFFF"/>
          <w:lang w:val="it-IT"/>
        </w:rPr>
        <w:t xml:space="preserve">della transazione (figura spesso nascosta dal ricorso a elaborate catene di intermediari e il cui opaco anonimato va con urgenza superato) rafforzato dal principio di emissione dello strumento scambiato e </w:t>
      </w:r>
      <w:r w:rsidR="00A40867" w:rsidRPr="001C4B6C">
        <w:rPr>
          <w:rFonts w:ascii="Arial" w:hAnsi="Arial" w:cs="Arial"/>
          <w:i/>
          <w:sz w:val="20"/>
          <w:szCs w:val="20"/>
          <w:shd w:val="clear" w:color="auto" w:fill="FFFFFF"/>
          <w:lang w:val="it-IT"/>
        </w:rPr>
        <w:t>iii)</w:t>
      </w:r>
      <w:r w:rsidR="00A40867" w:rsidRPr="001C4B6C">
        <w:rPr>
          <w:rFonts w:ascii="Arial" w:hAnsi="Arial" w:cs="Arial"/>
          <w:sz w:val="20"/>
          <w:szCs w:val="20"/>
          <w:shd w:val="clear" w:color="auto" w:fill="FFFFFF"/>
          <w:lang w:val="it-IT"/>
        </w:rPr>
        <w:t xml:space="preserve"> in grado di disincentivare l’high </w:t>
      </w:r>
      <w:proofErr w:type="spellStart"/>
      <w:r w:rsidR="00A40867" w:rsidRPr="001C4B6C">
        <w:rPr>
          <w:rFonts w:ascii="Arial" w:hAnsi="Arial" w:cs="Arial"/>
          <w:sz w:val="20"/>
          <w:szCs w:val="20"/>
          <w:shd w:val="clear" w:color="auto" w:fill="FFFFFF"/>
          <w:lang w:val="it-IT"/>
        </w:rPr>
        <w:t>frequency</w:t>
      </w:r>
      <w:proofErr w:type="spellEnd"/>
      <w:r w:rsidR="00A40867" w:rsidRPr="001C4B6C">
        <w:rPr>
          <w:rFonts w:ascii="Arial" w:hAnsi="Arial" w:cs="Arial"/>
          <w:sz w:val="20"/>
          <w:szCs w:val="20"/>
          <w:shd w:val="clear" w:color="auto" w:fill="FFFFFF"/>
          <w:lang w:val="it-IT"/>
        </w:rPr>
        <w:t xml:space="preserve"> trading, un settore turbolento e </w:t>
      </w:r>
      <w:proofErr w:type="spellStart"/>
      <w:r w:rsidR="00A40867" w:rsidRPr="001C4B6C">
        <w:rPr>
          <w:rStyle w:val="Enfasicorsivo"/>
          <w:rFonts w:ascii="Arial" w:hAnsi="Arial" w:cs="Arial"/>
          <w:sz w:val="20"/>
          <w:szCs w:val="20"/>
          <w:shd w:val="clear" w:color="auto" w:fill="FFFFFF"/>
          <w:lang w:val="it-IT"/>
        </w:rPr>
        <w:t>profitable</w:t>
      </w:r>
      <w:proofErr w:type="spellEnd"/>
      <w:r w:rsidR="00A40867" w:rsidRPr="001C4B6C">
        <w:rPr>
          <w:rStyle w:val="Enfasicorsivo"/>
          <w:rFonts w:ascii="Arial" w:hAnsi="Arial" w:cs="Arial"/>
          <w:sz w:val="20"/>
          <w:szCs w:val="20"/>
          <w:shd w:val="clear" w:color="auto" w:fill="FFFFFF"/>
          <w:lang w:val="it-IT"/>
        </w:rPr>
        <w:t xml:space="preserve"> </w:t>
      </w:r>
      <w:r w:rsidR="00A40867" w:rsidRPr="001C4B6C">
        <w:rPr>
          <w:rFonts w:ascii="Arial" w:hAnsi="Arial" w:cs="Arial"/>
          <w:sz w:val="20"/>
          <w:szCs w:val="20"/>
          <w:shd w:val="clear" w:color="auto" w:fill="FFFFFF"/>
          <w:lang w:val="it-IT"/>
        </w:rPr>
        <w:t>a breve termine che disincentiva il finanziamento dell'economia reale e delle famiglie da parte delle istituzioni finanziarie</w:t>
      </w:r>
      <w:r w:rsidR="00A40867" w:rsidRPr="001C4B6C">
        <w:rPr>
          <w:rStyle w:val="Enfasicorsivo"/>
          <w:rFonts w:ascii="Arial" w:hAnsi="Arial" w:cs="Arial"/>
          <w:sz w:val="20"/>
          <w:szCs w:val="20"/>
          <w:shd w:val="clear" w:color="auto" w:fill="FFFFFF"/>
          <w:lang w:val="it-IT"/>
        </w:rPr>
        <w:t>.</w:t>
      </w:r>
      <w:r w:rsidR="00A40867" w:rsidRPr="001C4B6C">
        <w:rPr>
          <w:rFonts w:ascii="Arial" w:hAnsi="Arial" w:cs="Arial"/>
          <w:color w:val="000000"/>
          <w:sz w:val="20"/>
          <w:szCs w:val="20"/>
          <w:shd w:val="clear" w:color="auto" w:fill="FFFFFF"/>
          <w:lang w:val="it-IT"/>
        </w:rPr>
        <w:t xml:space="preserve"> </w:t>
      </w:r>
    </w:p>
    <w:p w:rsidR="0063454A" w:rsidRDefault="00A40867" w:rsidP="00EA037C">
      <w:pPr>
        <w:widowControl w:val="0"/>
        <w:suppressAutoHyphens/>
        <w:spacing w:after="0" w:line="240" w:lineRule="auto"/>
        <w:jc w:val="both"/>
        <w:rPr>
          <w:rFonts w:ascii="Arial" w:hAnsi="Arial" w:cs="Arial"/>
          <w:sz w:val="20"/>
          <w:szCs w:val="20"/>
          <w:lang w:val="it-IT"/>
        </w:rPr>
      </w:pPr>
      <w:r w:rsidRPr="001C4B6C">
        <w:rPr>
          <w:rFonts w:ascii="Arial" w:hAnsi="Arial" w:cs="Arial"/>
          <w:color w:val="000000"/>
          <w:sz w:val="20"/>
          <w:szCs w:val="20"/>
          <w:lang w:val="it-IT"/>
        </w:rPr>
        <w:t>Le posizioni divergenti tra gli Stati Membri possono ora essere superate</w:t>
      </w:r>
      <w:r w:rsidR="00313F16">
        <w:rPr>
          <w:rFonts w:ascii="Arial" w:hAnsi="Arial" w:cs="Arial"/>
          <w:color w:val="000000"/>
          <w:sz w:val="20"/>
          <w:szCs w:val="20"/>
          <w:lang w:val="it-IT"/>
        </w:rPr>
        <w:t>,</w:t>
      </w:r>
      <w:r w:rsidRPr="001C4B6C">
        <w:rPr>
          <w:rFonts w:ascii="Arial" w:hAnsi="Arial" w:cs="Arial"/>
          <w:color w:val="000000"/>
          <w:sz w:val="20"/>
          <w:szCs w:val="20"/>
          <w:lang w:val="it-IT"/>
        </w:rPr>
        <w:t xml:space="preserve"> solo se entra in campo una reale volontà politica </w:t>
      </w:r>
      <w:r w:rsidRPr="001C4B6C">
        <w:rPr>
          <w:rFonts w:ascii="Arial" w:hAnsi="Arial" w:cs="Arial"/>
          <w:sz w:val="20"/>
          <w:szCs w:val="20"/>
          <w:lang w:val="it-IT"/>
        </w:rPr>
        <w:t xml:space="preserve">di invertire la rotta del </w:t>
      </w:r>
      <w:r w:rsidRPr="001C4B6C">
        <w:rPr>
          <w:rFonts w:ascii="Arial" w:hAnsi="Arial" w:cs="Arial"/>
          <w:i/>
          <w:sz w:val="20"/>
          <w:szCs w:val="20"/>
          <w:lang w:val="it-IT"/>
        </w:rPr>
        <w:t xml:space="preserve">business </w:t>
      </w:r>
      <w:proofErr w:type="spellStart"/>
      <w:r w:rsidRPr="001C4B6C">
        <w:rPr>
          <w:rFonts w:ascii="Arial" w:hAnsi="Arial" w:cs="Arial"/>
          <w:i/>
          <w:sz w:val="20"/>
          <w:szCs w:val="20"/>
          <w:lang w:val="it-IT"/>
        </w:rPr>
        <w:t>as</w:t>
      </w:r>
      <w:proofErr w:type="spellEnd"/>
      <w:r w:rsidRPr="001C4B6C">
        <w:rPr>
          <w:rFonts w:ascii="Arial" w:hAnsi="Arial" w:cs="Arial"/>
          <w:i/>
          <w:sz w:val="20"/>
          <w:szCs w:val="20"/>
          <w:lang w:val="it-IT"/>
        </w:rPr>
        <w:t xml:space="preserve"> </w:t>
      </w:r>
      <w:proofErr w:type="spellStart"/>
      <w:r w:rsidRPr="001C4B6C">
        <w:rPr>
          <w:rFonts w:ascii="Arial" w:hAnsi="Arial" w:cs="Arial"/>
          <w:i/>
          <w:sz w:val="20"/>
          <w:szCs w:val="20"/>
          <w:lang w:val="it-IT"/>
        </w:rPr>
        <w:t>usual</w:t>
      </w:r>
      <w:proofErr w:type="spellEnd"/>
      <w:r w:rsidRPr="001C4B6C">
        <w:rPr>
          <w:rFonts w:ascii="Arial" w:hAnsi="Arial" w:cs="Arial"/>
          <w:sz w:val="20"/>
          <w:szCs w:val="20"/>
          <w:lang w:val="it-IT"/>
        </w:rPr>
        <w:t xml:space="preserve"> in finanza e di ridare centralità al concetto di finanza al servizio della persona e dell’economia reale.</w:t>
      </w:r>
    </w:p>
    <w:p w:rsidR="00707D5E" w:rsidRPr="00EA037C" w:rsidRDefault="00707D5E" w:rsidP="00EA037C">
      <w:pPr>
        <w:widowControl w:val="0"/>
        <w:suppressAutoHyphens/>
        <w:spacing w:after="0" w:line="240" w:lineRule="auto"/>
        <w:jc w:val="both"/>
        <w:rPr>
          <w:rFonts w:ascii="Arial" w:hAnsi="Arial" w:cs="Arial"/>
          <w:sz w:val="20"/>
          <w:szCs w:val="20"/>
          <w:lang w:val="it-IT"/>
        </w:rPr>
      </w:pPr>
    </w:p>
    <w:p w:rsidR="00064F26" w:rsidRPr="00006A67" w:rsidRDefault="00064F26" w:rsidP="005B1909">
      <w:pPr>
        <w:widowControl w:val="0"/>
        <w:suppressAutoHyphens/>
        <w:spacing w:after="0" w:line="240" w:lineRule="auto"/>
        <w:rPr>
          <w:rFonts w:ascii="Arial" w:hAnsi="Arial" w:cs="Arial"/>
          <w:lang w:val="it-IT"/>
        </w:rPr>
      </w:pPr>
    </w:p>
    <w:p w:rsidR="00EA3E08" w:rsidRPr="0083281D" w:rsidRDefault="00EA3E08" w:rsidP="00394450">
      <w:pPr>
        <w:shd w:val="clear" w:color="auto" w:fill="92D050"/>
        <w:spacing w:after="160" w:line="240" w:lineRule="auto"/>
        <w:rPr>
          <w:rFonts w:ascii="Arial" w:eastAsia="SimSun" w:hAnsi="Arial" w:cs="Arial"/>
          <w:b/>
          <w:lang w:val="it-IT" w:eastAsia="zh-CN"/>
        </w:rPr>
      </w:pPr>
      <w:r w:rsidRPr="0083281D">
        <w:rPr>
          <w:rFonts w:ascii="Arial" w:eastAsia="SimSun" w:hAnsi="Arial" w:cs="Arial"/>
          <w:b/>
          <w:lang w:val="it-IT" w:eastAsia="zh-CN"/>
        </w:rPr>
        <w:t xml:space="preserve">&gt;&gt; LE RICHIESTE  DELLA SOCIETÀ CIVILE </w:t>
      </w:r>
    </w:p>
    <w:p w:rsidR="00EA3E08" w:rsidRPr="001C4B6C" w:rsidRDefault="000D5D1D" w:rsidP="00394450">
      <w:pPr>
        <w:widowControl w:val="0"/>
        <w:suppressAutoHyphens/>
        <w:spacing w:after="0" w:line="240" w:lineRule="auto"/>
        <w:jc w:val="both"/>
        <w:rPr>
          <w:rFonts w:ascii="Arial" w:hAnsi="Arial" w:cs="Arial"/>
          <w:sz w:val="20"/>
          <w:szCs w:val="20"/>
          <w:lang w:val="it-IT"/>
        </w:rPr>
      </w:pPr>
      <w:r w:rsidRPr="001C4B6C">
        <w:rPr>
          <w:rFonts w:ascii="Arial" w:hAnsi="Arial" w:cs="Arial"/>
          <w:sz w:val="20"/>
          <w:szCs w:val="20"/>
          <w:lang w:val="it-IT"/>
        </w:rPr>
        <w:t>Tutte le campagne europee a</w:t>
      </w:r>
      <w:r w:rsidR="00EA3E08" w:rsidRPr="001C4B6C">
        <w:rPr>
          <w:rFonts w:ascii="Arial" w:hAnsi="Arial" w:cs="Arial"/>
          <w:sz w:val="20"/>
          <w:szCs w:val="20"/>
          <w:lang w:val="it-IT"/>
        </w:rPr>
        <w:t xml:space="preserve"> supporto </w:t>
      </w:r>
      <w:r w:rsidRPr="001C4B6C">
        <w:rPr>
          <w:rFonts w:ascii="Arial" w:hAnsi="Arial" w:cs="Arial"/>
          <w:sz w:val="20"/>
          <w:szCs w:val="20"/>
          <w:lang w:val="it-IT"/>
        </w:rPr>
        <w:t>della Tassa sulle Transazioni Finanziarie</w:t>
      </w:r>
      <w:r w:rsidR="00EA3E08" w:rsidRPr="001C4B6C">
        <w:rPr>
          <w:rFonts w:ascii="Arial" w:hAnsi="Arial" w:cs="Arial"/>
          <w:sz w:val="20"/>
          <w:szCs w:val="20"/>
          <w:lang w:val="it-IT"/>
        </w:rPr>
        <w:t xml:space="preserve"> </w:t>
      </w:r>
      <w:r w:rsidRPr="001C4B6C">
        <w:rPr>
          <w:rFonts w:ascii="Arial" w:hAnsi="Arial" w:cs="Arial"/>
          <w:sz w:val="20"/>
          <w:szCs w:val="20"/>
          <w:lang w:val="it-IT"/>
        </w:rPr>
        <w:t>chiedono</w:t>
      </w:r>
      <w:r w:rsidR="00EA3E08" w:rsidRPr="001C4B6C">
        <w:rPr>
          <w:rFonts w:ascii="Arial" w:hAnsi="Arial" w:cs="Arial"/>
          <w:sz w:val="20"/>
          <w:szCs w:val="20"/>
          <w:lang w:val="it-IT"/>
        </w:rPr>
        <w:t xml:space="preserve"> ai leader un accordo che preveda:  </w:t>
      </w:r>
    </w:p>
    <w:p w:rsidR="00EA3E08" w:rsidRPr="001C4B6C" w:rsidRDefault="00EA3E08" w:rsidP="00394450">
      <w:pPr>
        <w:widowControl w:val="0"/>
        <w:numPr>
          <w:ilvl w:val="0"/>
          <w:numId w:val="3"/>
        </w:numPr>
        <w:suppressAutoHyphens/>
        <w:spacing w:after="0" w:line="240" w:lineRule="auto"/>
        <w:jc w:val="both"/>
        <w:rPr>
          <w:rFonts w:ascii="Times New Roman" w:hAnsi="Times New Roman"/>
          <w:sz w:val="20"/>
          <w:szCs w:val="20"/>
          <w:lang w:val="it-IT"/>
        </w:rPr>
      </w:pPr>
      <w:r w:rsidRPr="001C4B6C">
        <w:rPr>
          <w:rFonts w:ascii="Arial" w:hAnsi="Arial" w:cs="Arial"/>
          <w:sz w:val="20"/>
          <w:szCs w:val="20"/>
          <w:lang w:val="it-IT"/>
        </w:rPr>
        <w:t>In caso di introduzione graduale della TTF, un impegno</w:t>
      </w:r>
      <w:r w:rsidRPr="001C4B6C">
        <w:rPr>
          <w:rFonts w:ascii="Arial" w:hAnsi="Arial" w:cs="Arial"/>
          <w:b/>
          <w:sz w:val="20"/>
          <w:szCs w:val="20"/>
          <w:lang w:val="it-IT"/>
        </w:rPr>
        <w:t xml:space="preserve"> vincolante</w:t>
      </w:r>
      <w:r w:rsidRPr="001C4B6C">
        <w:rPr>
          <w:rFonts w:ascii="Arial" w:hAnsi="Arial" w:cs="Arial"/>
          <w:sz w:val="20"/>
          <w:szCs w:val="20"/>
          <w:lang w:val="it-IT"/>
        </w:rPr>
        <w:t xml:space="preserve"> per evitare che </w:t>
      </w:r>
      <w:r w:rsidR="00394450">
        <w:rPr>
          <w:rFonts w:ascii="Arial" w:hAnsi="Arial" w:cs="Arial"/>
          <w:sz w:val="20"/>
          <w:szCs w:val="20"/>
          <w:lang w:val="it-IT"/>
        </w:rPr>
        <w:t>i P</w:t>
      </w:r>
      <w:r w:rsidRPr="001C4B6C">
        <w:rPr>
          <w:rFonts w:ascii="Arial" w:hAnsi="Arial" w:cs="Arial"/>
          <w:sz w:val="20"/>
          <w:szCs w:val="20"/>
          <w:lang w:val="it-IT"/>
        </w:rPr>
        <w:t xml:space="preserve">aesi facciano retromarcia quando arriva il momento di </w:t>
      </w:r>
      <w:r w:rsidR="00F10BF2">
        <w:rPr>
          <w:rFonts w:ascii="Arial" w:hAnsi="Arial" w:cs="Arial"/>
          <w:sz w:val="20"/>
          <w:szCs w:val="20"/>
          <w:lang w:val="it-IT"/>
        </w:rPr>
        <w:t xml:space="preserve">implementare le fasi successive relative a classi di </w:t>
      </w:r>
      <w:proofErr w:type="spellStart"/>
      <w:r w:rsidR="00F10BF2">
        <w:rPr>
          <w:rFonts w:ascii="Arial" w:hAnsi="Arial" w:cs="Arial"/>
          <w:sz w:val="20"/>
          <w:szCs w:val="20"/>
          <w:lang w:val="it-IT"/>
        </w:rPr>
        <w:t>asset</w:t>
      </w:r>
      <w:proofErr w:type="spellEnd"/>
      <w:r w:rsidR="00F10BF2">
        <w:rPr>
          <w:rFonts w:ascii="Arial" w:hAnsi="Arial" w:cs="Arial"/>
          <w:sz w:val="20"/>
          <w:szCs w:val="20"/>
          <w:lang w:val="it-IT"/>
        </w:rPr>
        <w:t xml:space="preserve"> finanziari non tassati nella prima fase</w:t>
      </w:r>
      <w:r w:rsidRPr="001C4B6C">
        <w:rPr>
          <w:rFonts w:ascii="Arial" w:hAnsi="Arial" w:cs="Arial"/>
          <w:sz w:val="20"/>
          <w:szCs w:val="20"/>
          <w:lang w:val="it-IT"/>
        </w:rPr>
        <w:t>.</w:t>
      </w:r>
    </w:p>
    <w:p w:rsidR="00EA3E08" w:rsidRPr="001C4B6C" w:rsidRDefault="000D5D1D" w:rsidP="00394450">
      <w:pPr>
        <w:widowControl w:val="0"/>
        <w:numPr>
          <w:ilvl w:val="0"/>
          <w:numId w:val="3"/>
        </w:numPr>
        <w:suppressAutoHyphens/>
        <w:spacing w:after="0" w:line="240" w:lineRule="auto"/>
        <w:jc w:val="both"/>
        <w:rPr>
          <w:rFonts w:ascii="Arial" w:hAnsi="Arial" w:cs="Arial"/>
          <w:sz w:val="20"/>
          <w:szCs w:val="20"/>
          <w:lang w:val="it-IT"/>
        </w:rPr>
      </w:pPr>
      <w:r w:rsidRPr="001C4B6C">
        <w:rPr>
          <w:rFonts w:ascii="Arial" w:hAnsi="Arial" w:cs="Arial"/>
          <w:sz w:val="20"/>
          <w:szCs w:val="20"/>
          <w:lang w:val="it-IT"/>
        </w:rPr>
        <w:t xml:space="preserve">La definizione </w:t>
      </w:r>
      <w:r w:rsidR="00706C63" w:rsidRPr="001C4B6C">
        <w:rPr>
          <w:rFonts w:ascii="Arial" w:hAnsi="Arial" w:cs="Arial"/>
          <w:sz w:val="20"/>
          <w:szCs w:val="20"/>
          <w:lang w:val="it-IT"/>
        </w:rPr>
        <w:t>di un modello di tassa efficace</w:t>
      </w:r>
      <w:r w:rsidRPr="001C4B6C">
        <w:rPr>
          <w:rFonts w:ascii="Arial" w:hAnsi="Arial" w:cs="Arial"/>
          <w:sz w:val="20"/>
          <w:szCs w:val="20"/>
          <w:lang w:val="it-IT"/>
        </w:rPr>
        <w:t xml:space="preserve">, con la più </w:t>
      </w:r>
      <w:r w:rsidRPr="00394450">
        <w:rPr>
          <w:rFonts w:ascii="Arial" w:hAnsi="Arial" w:cs="Arial"/>
          <w:b/>
          <w:sz w:val="20"/>
          <w:szCs w:val="20"/>
          <w:lang w:val="it-IT"/>
        </w:rPr>
        <w:t>ampia base imponibile</w:t>
      </w:r>
      <w:r w:rsidRPr="001C4B6C">
        <w:rPr>
          <w:rFonts w:ascii="Arial" w:hAnsi="Arial" w:cs="Arial"/>
          <w:sz w:val="20"/>
          <w:szCs w:val="20"/>
          <w:lang w:val="it-IT"/>
        </w:rPr>
        <w:t>. Di particolare rilevanza</w:t>
      </w:r>
      <w:r w:rsidR="003A3CF0">
        <w:rPr>
          <w:rFonts w:ascii="Arial" w:hAnsi="Arial" w:cs="Arial"/>
          <w:sz w:val="20"/>
          <w:szCs w:val="20"/>
          <w:lang w:val="it-IT"/>
        </w:rPr>
        <w:t>,</w:t>
      </w:r>
      <w:r w:rsidRPr="001C4B6C">
        <w:rPr>
          <w:rFonts w:ascii="Arial" w:hAnsi="Arial" w:cs="Arial"/>
          <w:sz w:val="20"/>
          <w:szCs w:val="20"/>
          <w:lang w:val="it-IT"/>
        </w:rPr>
        <w:t xml:space="preserve"> ad esempio</w:t>
      </w:r>
      <w:r w:rsidR="003A3CF0">
        <w:rPr>
          <w:rFonts w:ascii="Arial" w:hAnsi="Arial" w:cs="Arial"/>
          <w:sz w:val="20"/>
          <w:szCs w:val="20"/>
          <w:lang w:val="it-IT"/>
        </w:rPr>
        <w:t>,</w:t>
      </w:r>
      <w:r w:rsidRPr="001C4B6C">
        <w:rPr>
          <w:rFonts w:ascii="Arial" w:hAnsi="Arial" w:cs="Arial"/>
          <w:sz w:val="20"/>
          <w:szCs w:val="20"/>
          <w:lang w:val="it-IT"/>
        </w:rPr>
        <w:t xml:space="preserve"> </w:t>
      </w:r>
      <w:r w:rsidR="00706C63" w:rsidRPr="001C4B6C">
        <w:rPr>
          <w:rFonts w:ascii="Arial" w:hAnsi="Arial" w:cs="Arial"/>
          <w:sz w:val="20"/>
          <w:szCs w:val="20"/>
          <w:lang w:val="it-IT"/>
        </w:rPr>
        <w:t>l’applicazione della tassa a</w:t>
      </w:r>
      <w:r w:rsidRPr="001C4B6C">
        <w:rPr>
          <w:rFonts w:ascii="Arial" w:hAnsi="Arial" w:cs="Arial"/>
          <w:sz w:val="20"/>
          <w:szCs w:val="20"/>
          <w:lang w:val="it-IT"/>
        </w:rPr>
        <w:t xml:space="preserve"> tutti</w:t>
      </w:r>
      <w:r w:rsidR="00706C63" w:rsidRPr="001C4B6C">
        <w:rPr>
          <w:rFonts w:ascii="Arial" w:hAnsi="Arial" w:cs="Arial"/>
          <w:sz w:val="20"/>
          <w:szCs w:val="20"/>
          <w:lang w:val="it-IT"/>
        </w:rPr>
        <w:t xml:space="preserve"> gli strumenti</w:t>
      </w:r>
      <w:r w:rsidR="00EA3E08" w:rsidRPr="001C4B6C">
        <w:rPr>
          <w:rFonts w:ascii="Arial" w:hAnsi="Arial" w:cs="Arial"/>
          <w:sz w:val="20"/>
          <w:szCs w:val="20"/>
          <w:lang w:val="it-IT"/>
        </w:rPr>
        <w:t xml:space="preserve"> </w:t>
      </w:r>
      <w:r w:rsidR="00EA3E08" w:rsidRPr="001C4B6C">
        <w:rPr>
          <w:rFonts w:ascii="Arial" w:hAnsi="Arial" w:cs="Arial"/>
          <w:b/>
          <w:sz w:val="20"/>
          <w:szCs w:val="20"/>
          <w:lang w:val="it-IT"/>
        </w:rPr>
        <w:t>derivati</w:t>
      </w:r>
      <w:r w:rsidR="00EA3E08" w:rsidRPr="001C4B6C">
        <w:rPr>
          <w:rFonts w:ascii="Arial" w:hAnsi="Arial" w:cs="Arial"/>
          <w:sz w:val="20"/>
          <w:szCs w:val="20"/>
          <w:lang w:val="it-IT"/>
        </w:rPr>
        <w:t xml:space="preserve">. </w:t>
      </w:r>
      <w:r w:rsidR="00797F64" w:rsidRPr="001C4B6C">
        <w:rPr>
          <w:rFonts w:ascii="Arial" w:hAnsi="Arial" w:cs="Arial"/>
          <w:sz w:val="20"/>
          <w:szCs w:val="20"/>
          <w:lang w:val="it-IT"/>
        </w:rPr>
        <w:t>Negli ultimi anni è cresciuto esponenzialmente il ricorso a questa tipologia di contratti, il cui uso spregiudicato e senza solidi argini regolamentari da parte degli operatori del settore va pure annoverato fra le cause scatenanti della crisi finanziaria. Inoltre</w:t>
      </w:r>
      <w:r w:rsidR="003A3CF0">
        <w:rPr>
          <w:rFonts w:ascii="Arial" w:hAnsi="Arial" w:cs="Arial"/>
          <w:sz w:val="20"/>
          <w:szCs w:val="20"/>
          <w:lang w:val="it-IT"/>
        </w:rPr>
        <w:t>,</w:t>
      </w:r>
      <w:r w:rsidR="00797F64" w:rsidRPr="001C4B6C">
        <w:rPr>
          <w:rFonts w:ascii="Arial" w:hAnsi="Arial" w:cs="Arial"/>
          <w:sz w:val="20"/>
          <w:szCs w:val="20"/>
          <w:lang w:val="it-IT"/>
        </w:rPr>
        <w:t xml:space="preserve"> i derivati da soli rappresentano almeno i due terzi del gettito stimabile della TTF. </w:t>
      </w:r>
    </w:p>
    <w:p w:rsidR="001C4B6C" w:rsidRPr="001C4B6C" w:rsidRDefault="00EA3E08" w:rsidP="00394450">
      <w:pPr>
        <w:widowControl w:val="0"/>
        <w:numPr>
          <w:ilvl w:val="0"/>
          <w:numId w:val="3"/>
        </w:numPr>
        <w:suppressAutoHyphens/>
        <w:spacing w:after="0" w:line="240" w:lineRule="auto"/>
        <w:jc w:val="both"/>
        <w:rPr>
          <w:rFonts w:ascii="Arial" w:hAnsi="Arial" w:cs="Arial"/>
          <w:sz w:val="20"/>
          <w:szCs w:val="20"/>
          <w:lang w:val="it-IT"/>
        </w:rPr>
      </w:pPr>
      <w:r w:rsidRPr="001C4B6C">
        <w:rPr>
          <w:rFonts w:ascii="Arial" w:hAnsi="Arial" w:cs="Arial"/>
          <w:sz w:val="20"/>
          <w:szCs w:val="20"/>
          <w:lang w:val="it-IT"/>
        </w:rPr>
        <w:t xml:space="preserve">L’impegno </w:t>
      </w:r>
      <w:r w:rsidR="000D5D1D" w:rsidRPr="001C4B6C">
        <w:rPr>
          <w:rFonts w:ascii="Arial" w:hAnsi="Arial" w:cs="Arial"/>
          <w:sz w:val="20"/>
          <w:szCs w:val="20"/>
          <w:lang w:val="it-IT"/>
        </w:rPr>
        <w:t xml:space="preserve">per la </w:t>
      </w:r>
      <w:r w:rsidR="000D5D1D" w:rsidRPr="001C4B6C">
        <w:rPr>
          <w:rFonts w:ascii="Arial" w:hAnsi="Arial" w:cs="Arial"/>
          <w:b/>
          <w:sz w:val="20"/>
          <w:szCs w:val="20"/>
          <w:lang w:val="it-IT"/>
        </w:rPr>
        <w:t>destinazione del</w:t>
      </w:r>
      <w:r w:rsidRPr="001C4B6C">
        <w:rPr>
          <w:rFonts w:ascii="Arial" w:hAnsi="Arial" w:cs="Arial"/>
          <w:b/>
          <w:sz w:val="20"/>
          <w:szCs w:val="20"/>
          <w:lang w:val="it-IT"/>
        </w:rPr>
        <w:t xml:space="preserve"> gettito</w:t>
      </w:r>
      <w:r w:rsidR="001C4B6C" w:rsidRPr="001C4B6C">
        <w:rPr>
          <w:rFonts w:ascii="Arial" w:hAnsi="Arial" w:cs="Arial"/>
          <w:sz w:val="20"/>
          <w:szCs w:val="20"/>
          <w:lang w:val="it-IT"/>
        </w:rPr>
        <w:t xml:space="preserve">: </w:t>
      </w:r>
    </w:p>
    <w:p w:rsidR="001C4B6C" w:rsidRPr="001C4B6C" w:rsidRDefault="001C4B6C" w:rsidP="00394450">
      <w:pPr>
        <w:spacing w:after="0" w:line="240" w:lineRule="auto"/>
        <w:ind w:left="720"/>
        <w:jc w:val="both"/>
        <w:rPr>
          <w:rFonts w:ascii="Arial" w:hAnsi="Arial" w:cs="Arial"/>
          <w:sz w:val="20"/>
          <w:szCs w:val="20"/>
          <w:lang w:val="it-IT"/>
        </w:rPr>
      </w:pPr>
      <w:r w:rsidRPr="001C4B6C">
        <w:rPr>
          <w:rFonts w:ascii="Arial" w:hAnsi="Arial" w:cs="Arial"/>
          <w:sz w:val="20"/>
          <w:szCs w:val="20"/>
          <w:lang w:val="it-IT"/>
        </w:rPr>
        <w:t xml:space="preserve">a) in parte per </w:t>
      </w:r>
      <w:r w:rsidRPr="001C4B6C">
        <w:rPr>
          <w:rFonts w:ascii="Arial" w:hAnsi="Arial" w:cs="Arial"/>
          <w:b/>
          <w:sz w:val="20"/>
          <w:szCs w:val="20"/>
          <w:lang w:val="it-IT"/>
        </w:rPr>
        <w:t>sostenere misure di</w:t>
      </w:r>
      <w:r w:rsidRPr="001C4B6C">
        <w:rPr>
          <w:rFonts w:ascii="Arial" w:hAnsi="Arial" w:cs="Arial"/>
          <w:sz w:val="20"/>
          <w:szCs w:val="20"/>
          <w:lang w:val="it-IT"/>
        </w:rPr>
        <w:t xml:space="preserve"> </w:t>
      </w:r>
      <w:r w:rsidRPr="001C4B6C">
        <w:rPr>
          <w:rFonts w:ascii="Arial" w:hAnsi="Arial" w:cs="Arial"/>
          <w:b/>
          <w:sz w:val="20"/>
          <w:szCs w:val="20"/>
          <w:lang w:val="it-IT"/>
        </w:rPr>
        <w:t>lotta alla povertà all’interno dei propri Paesi</w:t>
      </w:r>
      <w:r w:rsidR="003A3CF0">
        <w:rPr>
          <w:rFonts w:ascii="Arial" w:hAnsi="Arial" w:cs="Arial"/>
          <w:sz w:val="20"/>
          <w:szCs w:val="20"/>
          <w:lang w:val="it-IT"/>
        </w:rPr>
        <w:t xml:space="preserve">, </w:t>
      </w:r>
      <w:r w:rsidRPr="001C4B6C">
        <w:rPr>
          <w:rFonts w:ascii="Arial" w:hAnsi="Arial" w:cs="Arial"/>
          <w:sz w:val="20"/>
          <w:szCs w:val="20"/>
          <w:lang w:val="it-IT"/>
        </w:rPr>
        <w:t>contrastando le crescenti e preoccupanti disugua</w:t>
      </w:r>
      <w:r w:rsidR="003A3CF0">
        <w:rPr>
          <w:rFonts w:ascii="Arial" w:hAnsi="Arial" w:cs="Arial"/>
          <w:sz w:val="20"/>
          <w:szCs w:val="20"/>
          <w:lang w:val="it-IT"/>
        </w:rPr>
        <w:t xml:space="preserve">glianze che stanno connotando la nostra </w:t>
      </w:r>
      <w:r w:rsidRPr="001C4B6C">
        <w:rPr>
          <w:rFonts w:ascii="Arial" w:hAnsi="Arial" w:cs="Arial"/>
          <w:sz w:val="20"/>
          <w:szCs w:val="20"/>
          <w:lang w:val="it-IT"/>
        </w:rPr>
        <w:t xml:space="preserve">società; </w:t>
      </w:r>
    </w:p>
    <w:p w:rsidR="001C4B6C" w:rsidRDefault="001C4B6C" w:rsidP="00394450">
      <w:pPr>
        <w:spacing w:after="0" w:line="240" w:lineRule="auto"/>
        <w:ind w:left="720"/>
        <w:jc w:val="both"/>
        <w:rPr>
          <w:rFonts w:ascii="Arial" w:hAnsi="Arial" w:cs="Arial"/>
          <w:sz w:val="20"/>
          <w:szCs w:val="20"/>
          <w:lang w:val="it-IT"/>
        </w:rPr>
      </w:pPr>
      <w:r w:rsidRPr="001C4B6C">
        <w:rPr>
          <w:rFonts w:ascii="Arial" w:hAnsi="Arial" w:cs="Arial"/>
          <w:sz w:val="20"/>
          <w:szCs w:val="20"/>
          <w:lang w:val="it-IT"/>
        </w:rPr>
        <w:t xml:space="preserve">b) in parte per </w:t>
      </w:r>
      <w:r w:rsidRPr="001C4B6C">
        <w:rPr>
          <w:rFonts w:ascii="Arial" w:hAnsi="Arial" w:cs="Arial"/>
          <w:b/>
          <w:sz w:val="20"/>
          <w:szCs w:val="20"/>
          <w:lang w:val="it-IT"/>
        </w:rPr>
        <w:t>incrementare le</w:t>
      </w:r>
      <w:r w:rsidRPr="001C4B6C">
        <w:rPr>
          <w:rFonts w:ascii="Arial" w:hAnsi="Arial" w:cs="Arial"/>
          <w:sz w:val="20"/>
          <w:szCs w:val="20"/>
          <w:lang w:val="it-IT"/>
        </w:rPr>
        <w:t xml:space="preserve"> </w:t>
      </w:r>
      <w:r w:rsidRPr="001C4B6C">
        <w:rPr>
          <w:rFonts w:ascii="Arial" w:hAnsi="Arial" w:cs="Arial"/>
          <w:b/>
          <w:sz w:val="20"/>
          <w:szCs w:val="20"/>
          <w:lang w:val="it-IT"/>
        </w:rPr>
        <w:t>risorse su istruzione, salute globale e contrasto al cambiamento climatico nei Paesi in via di sviluppo</w:t>
      </w:r>
      <w:r w:rsidRPr="001C4B6C">
        <w:rPr>
          <w:rFonts w:ascii="Arial" w:hAnsi="Arial" w:cs="Arial"/>
          <w:sz w:val="20"/>
          <w:szCs w:val="20"/>
          <w:lang w:val="it-IT"/>
        </w:rPr>
        <w:t xml:space="preserve"> ricorrendo anche a fondi multilaterali già esistenti (es. Partenariato Globale per l’Educazione, Fondo globale per la lotta contro AIDS, Tubercolosi e Malaria, Fondo Verde per il Clima). </w:t>
      </w:r>
    </w:p>
    <w:p w:rsidR="001C4B6C" w:rsidRDefault="001C4B6C" w:rsidP="00394450">
      <w:pPr>
        <w:widowControl w:val="0"/>
        <w:suppressAutoHyphens/>
        <w:spacing w:after="0" w:line="240" w:lineRule="auto"/>
        <w:jc w:val="both"/>
        <w:rPr>
          <w:rFonts w:ascii="Arial" w:hAnsi="Arial" w:cs="Arial"/>
          <w:sz w:val="21"/>
          <w:szCs w:val="21"/>
          <w:lang w:val="it-IT"/>
        </w:rPr>
      </w:pPr>
    </w:p>
    <w:p w:rsidR="00126B22" w:rsidRDefault="00126B22" w:rsidP="00EA037C">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0" w:line="240" w:lineRule="auto"/>
        <w:jc w:val="both"/>
        <w:rPr>
          <w:rFonts w:ascii="Arial" w:hAnsi="Arial" w:cs="Arial"/>
          <w:b/>
          <w:bCs/>
          <w:smallCaps/>
          <w:sz w:val="20"/>
          <w:szCs w:val="20"/>
          <w:vertAlign w:val="superscript"/>
          <w:lang w:val="it-IT" w:eastAsia="it-IT"/>
        </w:rPr>
      </w:pPr>
      <w:r w:rsidRPr="00126B22">
        <w:rPr>
          <w:rFonts w:ascii="Arial" w:hAnsi="Arial" w:cs="Arial"/>
          <w:b/>
          <w:bCs/>
          <w:smallCaps/>
          <w:sz w:val="20"/>
          <w:szCs w:val="20"/>
          <w:lang w:val="it-IT" w:eastAsia="it-IT"/>
        </w:rPr>
        <w:t>Il potenziale del gettito da TTF. Basterebbero…</w:t>
      </w:r>
      <w:r>
        <w:rPr>
          <w:rStyle w:val="Rimandonotaapidipagina"/>
          <w:rFonts w:ascii="Arial" w:hAnsi="Arial"/>
          <w:b/>
          <w:bCs/>
          <w:smallCaps/>
          <w:sz w:val="20"/>
          <w:szCs w:val="20"/>
          <w:lang w:val="it-IT" w:eastAsia="it-IT"/>
        </w:rPr>
        <w:footnoteReference w:id="6"/>
      </w:r>
    </w:p>
    <w:p w:rsidR="00126B22" w:rsidRPr="00126B22" w:rsidRDefault="00126B22" w:rsidP="00EA037C">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0" w:line="240" w:lineRule="auto"/>
        <w:jc w:val="both"/>
        <w:rPr>
          <w:rFonts w:ascii="Arial" w:hAnsi="Arial" w:cs="Arial"/>
          <w:b/>
          <w:bCs/>
          <w:smallCaps/>
          <w:sz w:val="20"/>
          <w:szCs w:val="20"/>
          <w:lang w:val="it-IT" w:eastAsia="it-IT"/>
        </w:rPr>
      </w:pPr>
    </w:p>
    <w:p w:rsidR="00126B22" w:rsidRDefault="00126B22" w:rsidP="00EA037C">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0" w:line="240" w:lineRule="auto"/>
        <w:jc w:val="both"/>
        <w:rPr>
          <w:rFonts w:ascii="Arial" w:hAnsi="Arial" w:cs="Arial"/>
          <w:sz w:val="20"/>
          <w:szCs w:val="20"/>
          <w:lang w:val="it-IT" w:eastAsia="it-IT"/>
        </w:rPr>
      </w:pPr>
      <w:r w:rsidRPr="00126B22">
        <w:rPr>
          <w:rFonts w:ascii="Arial" w:hAnsi="Arial" w:cs="Arial"/>
          <w:b/>
          <w:bCs/>
          <w:sz w:val="20"/>
          <w:szCs w:val="20"/>
          <w:lang w:val="it-IT" w:eastAsia="it-IT"/>
        </w:rPr>
        <w:t xml:space="preserve">2,9 miliardi in un mese: </w:t>
      </w:r>
      <w:r w:rsidRPr="00126B22">
        <w:rPr>
          <w:rFonts w:ascii="Arial" w:hAnsi="Arial" w:cs="Arial"/>
          <w:sz w:val="20"/>
          <w:szCs w:val="20"/>
          <w:lang w:val="it-IT" w:eastAsia="it-IT"/>
        </w:rPr>
        <w:t>per pagare il salario di un intero a</w:t>
      </w:r>
      <w:r w:rsidR="00FF2954">
        <w:rPr>
          <w:rFonts w:ascii="Arial" w:hAnsi="Arial" w:cs="Arial"/>
          <w:sz w:val="20"/>
          <w:szCs w:val="20"/>
          <w:lang w:val="it-IT" w:eastAsia="it-IT"/>
        </w:rPr>
        <w:t>nno di 1,5 milioni di infermieri</w:t>
      </w:r>
      <w:r w:rsidRPr="00126B22">
        <w:rPr>
          <w:rFonts w:ascii="Arial" w:hAnsi="Arial" w:cs="Arial"/>
          <w:sz w:val="20"/>
          <w:szCs w:val="20"/>
          <w:lang w:val="it-IT" w:eastAsia="it-IT"/>
        </w:rPr>
        <w:t xml:space="preserve"> in Africa.</w:t>
      </w:r>
    </w:p>
    <w:p w:rsidR="00126B22" w:rsidRPr="00126B22" w:rsidRDefault="00126B22" w:rsidP="00EA037C">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0" w:line="240" w:lineRule="auto"/>
        <w:jc w:val="both"/>
        <w:rPr>
          <w:rFonts w:ascii="Arial" w:hAnsi="Arial" w:cs="Arial"/>
          <w:sz w:val="20"/>
          <w:szCs w:val="20"/>
          <w:lang w:val="it-IT" w:eastAsia="it-IT"/>
        </w:rPr>
      </w:pPr>
    </w:p>
    <w:p w:rsidR="00126B22" w:rsidRPr="00126B22" w:rsidRDefault="00126B22" w:rsidP="00EA037C">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0" w:line="240" w:lineRule="auto"/>
        <w:jc w:val="both"/>
        <w:rPr>
          <w:rFonts w:ascii="Arial" w:hAnsi="Arial" w:cs="Arial"/>
          <w:sz w:val="20"/>
          <w:szCs w:val="20"/>
          <w:lang w:val="it-IT" w:eastAsia="it-IT"/>
        </w:rPr>
      </w:pPr>
      <w:r w:rsidRPr="00126B22">
        <w:rPr>
          <w:rFonts w:ascii="Arial" w:hAnsi="Arial" w:cs="Arial"/>
          <w:b/>
          <w:bCs/>
          <w:sz w:val="20"/>
          <w:szCs w:val="20"/>
          <w:lang w:val="it-IT" w:eastAsia="it-IT"/>
        </w:rPr>
        <w:t xml:space="preserve">670 milioni in una settimana: </w:t>
      </w:r>
      <w:r w:rsidRPr="00126B22">
        <w:rPr>
          <w:rFonts w:ascii="Arial" w:hAnsi="Arial" w:cs="Arial"/>
          <w:sz w:val="20"/>
          <w:szCs w:val="20"/>
          <w:lang w:val="it-IT" w:eastAsia="it-IT"/>
        </w:rPr>
        <w:t>un dato che raddoppiato, potrebbe far recuperare i tagli effettuati dal 2008 al 2012 al fondo nazionale per le politiche sociali.</w:t>
      </w:r>
    </w:p>
    <w:p w:rsidR="00126B22" w:rsidRPr="00126B22" w:rsidRDefault="00126B22" w:rsidP="00EA037C">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0" w:line="240" w:lineRule="auto"/>
        <w:jc w:val="both"/>
        <w:rPr>
          <w:rFonts w:ascii="Arial" w:hAnsi="Arial" w:cs="Arial"/>
          <w:sz w:val="20"/>
          <w:szCs w:val="20"/>
          <w:lang w:val="it-IT" w:eastAsia="it-IT"/>
        </w:rPr>
      </w:pPr>
    </w:p>
    <w:p w:rsidR="00126B22" w:rsidRPr="00DC5C8B" w:rsidRDefault="00126B22" w:rsidP="00EA037C">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0" w:line="240" w:lineRule="auto"/>
        <w:jc w:val="both"/>
        <w:rPr>
          <w:rFonts w:ascii="Arial" w:hAnsi="Arial" w:cs="Arial"/>
          <w:sz w:val="21"/>
          <w:szCs w:val="21"/>
          <w:lang w:val="it-IT"/>
        </w:rPr>
      </w:pPr>
      <w:r w:rsidRPr="00126B22">
        <w:rPr>
          <w:rFonts w:ascii="Arial" w:hAnsi="Arial" w:cs="Arial"/>
          <w:b/>
          <w:bCs/>
          <w:sz w:val="20"/>
          <w:szCs w:val="20"/>
          <w:lang w:val="it-IT" w:eastAsia="it-IT"/>
        </w:rPr>
        <w:t xml:space="preserve">96 milioni di euro al giorno: </w:t>
      </w:r>
      <w:r w:rsidRPr="00126B22">
        <w:rPr>
          <w:rFonts w:ascii="Arial" w:hAnsi="Arial" w:cs="Arial"/>
          <w:sz w:val="20"/>
          <w:szCs w:val="20"/>
          <w:lang w:val="it-IT" w:eastAsia="it-IT"/>
        </w:rPr>
        <w:t>in soli due giorni e mezzo, si potrebbe finanziare la costruzione di 2.500 rifugi anticiclone, proteggendo così 8 milioni di persone che vivono in zone soggette a tali fenomeni.</w:t>
      </w:r>
    </w:p>
    <w:sectPr w:rsidR="00126B22" w:rsidRPr="00DC5C8B" w:rsidSect="00706C63">
      <w:pgSz w:w="11906" w:h="16838"/>
      <w:pgMar w:top="851" w:right="1077" w:bottom="568"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024" w:rsidRDefault="00916024" w:rsidP="005B1909">
      <w:pPr>
        <w:spacing w:after="0" w:line="240" w:lineRule="auto"/>
      </w:pPr>
      <w:r>
        <w:separator/>
      </w:r>
    </w:p>
  </w:endnote>
  <w:endnote w:type="continuationSeparator" w:id="0">
    <w:p w:rsidR="00916024" w:rsidRDefault="00916024" w:rsidP="005B1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MS Mincho"/>
    <w:charset w:val="80"/>
    <w:family w:val="roman"/>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024" w:rsidRDefault="00916024" w:rsidP="005B1909">
      <w:pPr>
        <w:spacing w:after="0" w:line="240" w:lineRule="auto"/>
      </w:pPr>
      <w:r>
        <w:separator/>
      </w:r>
    </w:p>
  </w:footnote>
  <w:footnote w:type="continuationSeparator" w:id="0">
    <w:p w:rsidR="00916024" w:rsidRDefault="00916024" w:rsidP="005B1909">
      <w:pPr>
        <w:spacing w:after="0" w:line="240" w:lineRule="auto"/>
      </w:pPr>
      <w:r>
        <w:continuationSeparator/>
      </w:r>
    </w:p>
  </w:footnote>
  <w:footnote w:id="1">
    <w:p w:rsidR="000D5D1D" w:rsidRPr="00DC5C8B" w:rsidRDefault="000D5D1D" w:rsidP="00DC5C8B">
      <w:pPr>
        <w:pStyle w:val="Testonotaapidipagina"/>
        <w:jc w:val="both"/>
        <w:rPr>
          <w:rFonts w:ascii="Arial" w:hAnsi="Arial" w:cs="Arial"/>
          <w:sz w:val="16"/>
          <w:szCs w:val="16"/>
          <w:lang w:val="it-IT"/>
        </w:rPr>
      </w:pPr>
      <w:r w:rsidRPr="00DC5C8B">
        <w:rPr>
          <w:rStyle w:val="Rimandonotaapidipagina"/>
          <w:rFonts w:ascii="Arial" w:hAnsi="Arial" w:cs="Arial"/>
          <w:sz w:val="16"/>
          <w:szCs w:val="16"/>
        </w:rPr>
        <w:footnoteRef/>
      </w:r>
      <w:r w:rsidRPr="00DC5C8B">
        <w:rPr>
          <w:rFonts w:ascii="Arial" w:hAnsi="Arial" w:cs="Arial"/>
          <w:sz w:val="16"/>
          <w:szCs w:val="16"/>
          <w:lang w:val="it-IT"/>
        </w:rPr>
        <w:t xml:space="preserve"> La TTF viene spesso impropriamente detta </w:t>
      </w:r>
      <w:proofErr w:type="spellStart"/>
      <w:r w:rsidRPr="00DC5C8B">
        <w:rPr>
          <w:rFonts w:ascii="Arial" w:hAnsi="Arial" w:cs="Arial"/>
          <w:sz w:val="16"/>
          <w:szCs w:val="16"/>
          <w:lang w:val="it-IT"/>
        </w:rPr>
        <w:t>Tobin</w:t>
      </w:r>
      <w:proofErr w:type="spellEnd"/>
      <w:r w:rsidRPr="00DC5C8B">
        <w:rPr>
          <w:rFonts w:ascii="Arial" w:hAnsi="Arial" w:cs="Arial"/>
          <w:sz w:val="16"/>
          <w:szCs w:val="16"/>
          <w:lang w:val="it-IT"/>
        </w:rPr>
        <w:t xml:space="preserve"> </w:t>
      </w:r>
      <w:proofErr w:type="spellStart"/>
      <w:r w:rsidRPr="00DC5C8B">
        <w:rPr>
          <w:rFonts w:ascii="Arial" w:hAnsi="Arial" w:cs="Arial"/>
          <w:sz w:val="16"/>
          <w:szCs w:val="16"/>
          <w:lang w:val="it-IT"/>
        </w:rPr>
        <w:t>Tax</w:t>
      </w:r>
      <w:proofErr w:type="spellEnd"/>
      <w:r w:rsidRPr="00DC5C8B">
        <w:rPr>
          <w:rFonts w:ascii="Arial" w:hAnsi="Arial" w:cs="Arial"/>
          <w:sz w:val="16"/>
          <w:szCs w:val="16"/>
          <w:lang w:val="it-IT"/>
        </w:rPr>
        <w:t xml:space="preserve"> richiamando la paternità della proposta del Premio Nobel James </w:t>
      </w:r>
      <w:proofErr w:type="spellStart"/>
      <w:r w:rsidRPr="00DC5C8B">
        <w:rPr>
          <w:rFonts w:ascii="Arial" w:hAnsi="Arial" w:cs="Arial"/>
          <w:sz w:val="16"/>
          <w:szCs w:val="16"/>
          <w:lang w:val="it-IT"/>
        </w:rPr>
        <w:t>Tobin</w:t>
      </w:r>
      <w:proofErr w:type="spellEnd"/>
      <w:r w:rsidRPr="00DC5C8B">
        <w:rPr>
          <w:rFonts w:ascii="Arial" w:hAnsi="Arial" w:cs="Arial"/>
          <w:sz w:val="16"/>
          <w:szCs w:val="16"/>
          <w:lang w:val="it-IT"/>
        </w:rPr>
        <w:t xml:space="preserve"> che però agli inizi degli anni ’70 riferiva la tassa al solo scambio di valute mentre ora si parla di TTF estendendola a tutti gli strumenti finanziari. </w:t>
      </w:r>
    </w:p>
  </w:footnote>
  <w:footnote w:id="2">
    <w:p w:rsidR="00DC5C8B" w:rsidRPr="00DC5C8B" w:rsidRDefault="00DC5C8B" w:rsidP="00DC5C8B">
      <w:pPr>
        <w:pStyle w:val="Testonotaapidipagina"/>
        <w:jc w:val="both"/>
        <w:rPr>
          <w:lang w:val="it-IT"/>
        </w:rPr>
      </w:pPr>
      <w:r w:rsidRPr="00DC5C8B">
        <w:rPr>
          <w:rStyle w:val="Rimandonotaapidipagina"/>
          <w:rFonts w:ascii="Arial" w:hAnsi="Arial" w:cs="Arial"/>
          <w:sz w:val="16"/>
          <w:szCs w:val="16"/>
        </w:rPr>
        <w:footnoteRef/>
      </w:r>
      <w:r w:rsidRPr="00DC5C8B">
        <w:rPr>
          <w:rFonts w:ascii="Arial" w:hAnsi="Arial" w:cs="Arial"/>
          <w:sz w:val="16"/>
          <w:szCs w:val="16"/>
          <w:lang w:val="it-IT"/>
        </w:rPr>
        <w:t xml:space="preserve"> </w:t>
      </w:r>
      <w:hyperlink r:id="rId1" w:history="1">
        <w:r w:rsidRPr="00DC5C8B">
          <w:rPr>
            <w:rStyle w:val="Collegamentoipertestuale"/>
            <w:rFonts w:ascii="Arial" w:hAnsi="Arial" w:cs="Arial"/>
            <w:sz w:val="16"/>
            <w:szCs w:val="16"/>
            <w:lang w:val="it-IT"/>
          </w:rPr>
          <w:t>http://www.zerozerocinque.it/index.php?option=com_content&amp;view=article&amp;id=119:1000-economisti-scrivono-al-g20-per-la-ttf&amp;catid=1:latest-news&amp;Itemid</w:t>
        </w:r>
        <w:r w:rsidRPr="00DC5C8B">
          <w:rPr>
            <w:rStyle w:val="Collegamentoipertestuale"/>
            <w:rFonts w:ascii="Arial" w:hAnsi="Arial" w:cs="Arial"/>
            <w:sz w:val="16"/>
            <w:szCs w:val="16"/>
            <w:lang w:val="it-IT"/>
          </w:rPr>
          <w:t>=</w:t>
        </w:r>
        <w:r w:rsidRPr="00DC5C8B">
          <w:rPr>
            <w:rStyle w:val="Collegamentoipertestuale"/>
            <w:rFonts w:ascii="Arial" w:hAnsi="Arial" w:cs="Arial"/>
            <w:sz w:val="16"/>
            <w:szCs w:val="16"/>
            <w:lang w:val="it-IT"/>
          </w:rPr>
          <w:t>89</w:t>
        </w:r>
      </w:hyperlink>
      <w:r w:rsidR="00D8714F">
        <w:rPr>
          <w:rFonts w:ascii="Arial" w:hAnsi="Arial" w:cs="Arial"/>
          <w:sz w:val="16"/>
          <w:szCs w:val="16"/>
          <w:lang w:val="it-IT"/>
        </w:rPr>
        <w:t xml:space="preserve"> </w:t>
      </w:r>
      <w:r>
        <w:rPr>
          <w:rFonts w:ascii="Arial" w:hAnsi="Arial" w:cs="Arial"/>
          <w:sz w:val="16"/>
          <w:szCs w:val="16"/>
          <w:lang w:val="it-IT"/>
        </w:rPr>
        <w:t xml:space="preserve"> </w:t>
      </w:r>
      <w:r>
        <w:rPr>
          <w:lang w:val="it-IT"/>
        </w:rPr>
        <w:t xml:space="preserve">  </w:t>
      </w:r>
    </w:p>
  </w:footnote>
  <w:footnote w:id="3">
    <w:p w:rsidR="001C4B6C" w:rsidRPr="00F651CA" w:rsidRDefault="001C4B6C" w:rsidP="00A40867">
      <w:pPr>
        <w:pStyle w:val="Testonotaapidipagina"/>
        <w:rPr>
          <w:rFonts w:ascii="Arial" w:hAnsi="Arial" w:cs="Arial"/>
          <w:sz w:val="16"/>
          <w:szCs w:val="16"/>
          <w:lang w:val="it-IT"/>
        </w:rPr>
      </w:pPr>
      <w:r w:rsidRPr="00F651CA">
        <w:rPr>
          <w:rStyle w:val="Rimandonotaapidipagina"/>
          <w:rFonts w:ascii="Arial" w:hAnsi="Arial" w:cs="Arial"/>
          <w:sz w:val="16"/>
          <w:szCs w:val="16"/>
        </w:rPr>
        <w:footnoteRef/>
      </w:r>
      <w:r w:rsidRPr="00F651CA">
        <w:rPr>
          <w:rFonts w:ascii="Arial" w:hAnsi="Arial" w:cs="Arial"/>
          <w:sz w:val="16"/>
          <w:szCs w:val="16"/>
          <w:lang w:val="it-IT"/>
        </w:rPr>
        <w:t xml:space="preserve"> Austria, Belgio, Estonia, Francia, Germania, Grecia, Italia, Portogallo, Slovacchia, Slovenia, Spagna.</w:t>
      </w:r>
    </w:p>
  </w:footnote>
  <w:footnote w:id="4">
    <w:p w:rsidR="00707D5E" w:rsidRDefault="00AB34E1" w:rsidP="00AB34E1">
      <w:pPr>
        <w:pStyle w:val="Testonotaapidipagina"/>
        <w:jc w:val="both"/>
        <w:rPr>
          <w:rFonts w:ascii="Arial" w:hAnsi="Arial" w:cs="Arial"/>
          <w:sz w:val="16"/>
          <w:szCs w:val="16"/>
          <w:lang w:val="it-IT"/>
        </w:rPr>
      </w:pPr>
      <w:r w:rsidRPr="000D5D1D">
        <w:rPr>
          <w:rStyle w:val="Rimandonotaapidipagina"/>
          <w:rFonts w:ascii="Arial" w:hAnsi="Arial" w:cs="Arial"/>
          <w:sz w:val="16"/>
          <w:szCs w:val="16"/>
        </w:rPr>
        <w:footnoteRef/>
      </w:r>
      <w:r w:rsidR="00B245D7">
        <w:rPr>
          <w:rFonts w:ascii="Arial" w:hAnsi="Arial" w:cs="Arial"/>
          <w:sz w:val="16"/>
          <w:szCs w:val="16"/>
          <w:lang w:val="it-IT"/>
        </w:rPr>
        <w:t xml:space="preserve"> La C</w:t>
      </w:r>
      <w:r w:rsidRPr="000D5D1D">
        <w:rPr>
          <w:rFonts w:ascii="Arial" w:hAnsi="Arial" w:cs="Arial"/>
          <w:sz w:val="16"/>
          <w:szCs w:val="16"/>
          <w:lang w:val="it-IT"/>
        </w:rPr>
        <w:t xml:space="preserve">ommissione Europea ha proposto una tassa dello 0,1% sugli scambi di azioni e obbligazioni e dello 0,01% sui contratti derivati, per maggiori dettagli si veda </w:t>
      </w:r>
      <w:hyperlink r:id="rId2" w:history="1">
        <w:r w:rsidRPr="000D5D1D">
          <w:rPr>
            <w:rStyle w:val="Collegamentoipertestuale"/>
            <w:rFonts w:ascii="Arial" w:hAnsi="Arial" w:cs="Arial"/>
            <w:sz w:val="16"/>
            <w:szCs w:val="16"/>
            <w:lang w:val="it-IT"/>
          </w:rPr>
          <w:t>http://ec.europa.eu/taxation_customs/taxation/other_taxes/financial_sector/index_en.htm</w:t>
        </w:r>
      </w:hyperlink>
      <w:r w:rsidRPr="000D5D1D">
        <w:rPr>
          <w:rFonts w:ascii="Arial" w:hAnsi="Arial" w:cs="Arial"/>
          <w:sz w:val="16"/>
          <w:szCs w:val="16"/>
          <w:lang w:val="it-IT"/>
        </w:rPr>
        <w:t>.</w:t>
      </w:r>
    </w:p>
    <w:p w:rsidR="00AB34E1" w:rsidRPr="0063454A" w:rsidRDefault="00AB34E1" w:rsidP="00AB34E1">
      <w:pPr>
        <w:pStyle w:val="Testonotaapidipagina"/>
        <w:jc w:val="both"/>
        <w:rPr>
          <w:rFonts w:ascii="Arial" w:hAnsi="Arial" w:cs="Arial"/>
          <w:sz w:val="16"/>
          <w:szCs w:val="16"/>
          <w:lang w:val="it-IT"/>
        </w:rPr>
      </w:pPr>
      <w:r>
        <w:rPr>
          <w:rFonts w:ascii="Arial" w:hAnsi="Arial" w:cs="Arial"/>
          <w:sz w:val="16"/>
          <w:szCs w:val="16"/>
          <w:lang w:val="it-IT"/>
        </w:rPr>
        <w:t>Vi sono anche stime che prevedono un gettito maggiore, ad esempio l</w:t>
      </w:r>
      <w:r w:rsidRPr="000D5D1D">
        <w:rPr>
          <w:rFonts w:ascii="Arial" w:hAnsi="Arial" w:cs="Arial"/>
          <w:sz w:val="16"/>
          <w:szCs w:val="16"/>
          <w:lang w:val="it-IT"/>
        </w:rPr>
        <w:t xml:space="preserve">’Istituto tedesco per la ricerca economica (DIW) ha calcolato che la tassa produrrebbe un gettito pari a 37,4 miliardi di euro, </w:t>
      </w:r>
      <w:r w:rsidRPr="000D5D1D">
        <w:rPr>
          <w:rFonts w:ascii="Arial" w:hAnsi="Arial" w:cs="Arial"/>
          <w:i/>
          <w:sz w:val="16"/>
          <w:szCs w:val="16"/>
          <w:lang w:val="it-IT"/>
        </w:rPr>
        <w:t xml:space="preserve">Financial Transaction Tax: Economic and Fiscal Effects of the Implementation of a Financial </w:t>
      </w:r>
      <w:proofErr w:type="spellStart"/>
      <w:r w:rsidRPr="000D5D1D">
        <w:rPr>
          <w:rFonts w:ascii="Arial" w:hAnsi="Arial" w:cs="Arial"/>
          <w:i/>
          <w:sz w:val="16"/>
          <w:szCs w:val="16"/>
          <w:lang w:val="it-IT"/>
        </w:rPr>
        <w:t>Transaction</w:t>
      </w:r>
      <w:proofErr w:type="spellEnd"/>
      <w:r w:rsidRPr="000D5D1D">
        <w:rPr>
          <w:rFonts w:ascii="Arial" w:hAnsi="Arial" w:cs="Arial"/>
          <w:i/>
          <w:sz w:val="16"/>
          <w:szCs w:val="16"/>
          <w:lang w:val="it-IT"/>
        </w:rPr>
        <w:t xml:space="preserve"> </w:t>
      </w:r>
      <w:proofErr w:type="spellStart"/>
      <w:r w:rsidRPr="000D5D1D">
        <w:rPr>
          <w:rFonts w:ascii="Arial" w:hAnsi="Arial" w:cs="Arial"/>
          <w:i/>
          <w:sz w:val="16"/>
          <w:szCs w:val="16"/>
          <w:lang w:val="it-IT"/>
        </w:rPr>
        <w:t>Tax</w:t>
      </w:r>
      <w:proofErr w:type="spellEnd"/>
      <w:r w:rsidRPr="000D5D1D">
        <w:rPr>
          <w:rFonts w:ascii="Arial" w:hAnsi="Arial" w:cs="Arial"/>
          <w:i/>
          <w:sz w:val="16"/>
          <w:szCs w:val="16"/>
          <w:lang w:val="it-IT"/>
        </w:rPr>
        <w:t xml:space="preserve"> in </w:t>
      </w:r>
      <w:proofErr w:type="spellStart"/>
      <w:r w:rsidRPr="000D5D1D">
        <w:rPr>
          <w:rFonts w:ascii="Arial" w:hAnsi="Arial" w:cs="Arial"/>
          <w:i/>
          <w:sz w:val="16"/>
          <w:szCs w:val="16"/>
          <w:lang w:val="it-IT"/>
        </w:rPr>
        <w:t>Germany</w:t>
      </w:r>
      <w:proofErr w:type="spellEnd"/>
      <w:r w:rsidRPr="0063454A">
        <w:rPr>
          <w:rFonts w:ascii="Arial" w:hAnsi="Arial" w:cs="Arial"/>
          <w:sz w:val="16"/>
          <w:szCs w:val="16"/>
          <w:lang w:val="it-IT"/>
        </w:rPr>
        <w:t>, (luglio 2013).</w:t>
      </w:r>
    </w:p>
  </w:footnote>
  <w:footnote w:id="5">
    <w:p w:rsidR="0063454A" w:rsidRDefault="0063454A" w:rsidP="0063454A">
      <w:pPr>
        <w:pStyle w:val="Testonotaapidipagina"/>
        <w:jc w:val="both"/>
        <w:rPr>
          <w:rFonts w:ascii="Arial" w:hAnsi="Arial" w:cs="Arial"/>
          <w:sz w:val="16"/>
          <w:szCs w:val="16"/>
          <w:lang w:val="it-IT"/>
        </w:rPr>
      </w:pPr>
      <w:r w:rsidRPr="0063454A">
        <w:rPr>
          <w:rStyle w:val="Rimandonotaapidipagina"/>
          <w:rFonts w:ascii="Arial" w:hAnsi="Arial" w:cs="Arial"/>
          <w:sz w:val="16"/>
          <w:szCs w:val="16"/>
        </w:rPr>
        <w:footnoteRef/>
      </w:r>
      <w:r w:rsidRPr="0063454A">
        <w:rPr>
          <w:rFonts w:ascii="Arial" w:hAnsi="Arial" w:cs="Arial"/>
          <w:sz w:val="16"/>
          <w:szCs w:val="16"/>
          <w:lang w:val="it-IT"/>
        </w:rPr>
        <w:t xml:space="preserve"> Secondo l’Impact </w:t>
      </w:r>
      <w:proofErr w:type="spellStart"/>
      <w:r w:rsidRPr="0063454A">
        <w:rPr>
          <w:rFonts w:ascii="Arial" w:hAnsi="Arial" w:cs="Arial"/>
          <w:sz w:val="16"/>
          <w:szCs w:val="16"/>
          <w:lang w:val="it-IT"/>
        </w:rPr>
        <w:t>Assessment</w:t>
      </w:r>
      <w:proofErr w:type="spellEnd"/>
      <w:r w:rsidRPr="0063454A">
        <w:rPr>
          <w:rFonts w:ascii="Arial" w:hAnsi="Arial" w:cs="Arial"/>
          <w:sz w:val="16"/>
          <w:szCs w:val="16"/>
          <w:lang w:val="it-IT"/>
        </w:rPr>
        <w:t xml:space="preserve"> della CE una stima approssimativa di gettito per l’Italia è di 6,43 miliardi, </w:t>
      </w:r>
      <w:hyperlink r:id="rId3" w:history="1">
        <w:r w:rsidRPr="0063454A">
          <w:rPr>
            <w:rStyle w:val="Collegamentoipertestuale"/>
            <w:rFonts w:ascii="Arial" w:hAnsi="Arial" w:cs="Arial"/>
            <w:sz w:val="16"/>
            <w:szCs w:val="16"/>
            <w:lang w:val="it-IT"/>
          </w:rPr>
          <w:t>http://ec.europa.eu/taxation_customs/resources/documents/taxation/swd_2013_28_en.pdf</w:t>
        </w:r>
      </w:hyperlink>
      <w:r w:rsidRPr="0063454A">
        <w:rPr>
          <w:rFonts w:ascii="Arial" w:hAnsi="Arial" w:cs="Arial"/>
          <w:sz w:val="16"/>
          <w:szCs w:val="16"/>
          <w:lang w:val="it-IT"/>
        </w:rPr>
        <w:t xml:space="preserve">; </w:t>
      </w:r>
    </w:p>
    <w:p w:rsidR="0063454A" w:rsidRPr="0063454A" w:rsidRDefault="0063454A" w:rsidP="0063454A">
      <w:pPr>
        <w:pStyle w:val="Testonotaapidipagina"/>
        <w:jc w:val="both"/>
        <w:rPr>
          <w:lang w:val="it-IT"/>
        </w:rPr>
      </w:pPr>
      <w:r w:rsidRPr="0063454A">
        <w:rPr>
          <w:rFonts w:ascii="Arial" w:hAnsi="Arial" w:cs="Arial"/>
          <w:sz w:val="16"/>
          <w:szCs w:val="16"/>
          <w:lang w:val="it-IT"/>
        </w:rPr>
        <w:t>l’Istituto tedesco per la rice</w:t>
      </w:r>
      <w:r>
        <w:rPr>
          <w:rFonts w:ascii="Arial" w:hAnsi="Arial" w:cs="Arial"/>
          <w:sz w:val="16"/>
          <w:szCs w:val="16"/>
          <w:lang w:val="it-IT"/>
        </w:rPr>
        <w:t>rca economica (DIW)</w:t>
      </w:r>
      <w:r w:rsidRPr="0063454A">
        <w:rPr>
          <w:rFonts w:ascii="Arial" w:hAnsi="Arial" w:cs="Arial"/>
          <w:sz w:val="16"/>
          <w:szCs w:val="16"/>
          <w:lang w:val="it-IT"/>
        </w:rPr>
        <w:t xml:space="preserve"> stima invece un gettito per l’Italia di circa 5,32 miliardi </w:t>
      </w:r>
      <w:hyperlink r:id="rId4" w:history="1">
        <w:r w:rsidRPr="0063454A">
          <w:rPr>
            <w:rStyle w:val="Collegamentoipertestuale"/>
            <w:rFonts w:ascii="Arial" w:hAnsi="Arial" w:cs="Arial"/>
            <w:sz w:val="16"/>
            <w:szCs w:val="16"/>
            <w:lang w:val="it-IT"/>
          </w:rPr>
          <w:t>http://www2.weed-online.org/uploads/diw_document_english_translation_summary.pdf</w:t>
        </w:r>
      </w:hyperlink>
      <w:r>
        <w:rPr>
          <w:lang w:val="it-IT"/>
        </w:rPr>
        <w:t xml:space="preserve"> </w:t>
      </w:r>
    </w:p>
  </w:footnote>
  <w:footnote w:id="6">
    <w:p w:rsidR="00126B22" w:rsidRPr="00AB34E1" w:rsidRDefault="00126B22" w:rsidP="00AB34E1">
      <w:pPr>
        <w:spacing w:line="240" w:lineRule="auto"/>
        <w:rPr>
          <w:rFonts w:ascii="Arial" w:hAnsi="Arial" w:cs="Arial"/>
          <w:sz w:val="16"/>
          <w:szCs w:val="16"/>
          <w:lang w:val="it-IT"/>
        </w:rPr>
      </w:pPr>
      <w:r w:rsidRPr="00AB34E1">
        <w:rPr>
          <w:rStyle w:val="Rimandonotaapidipagina"/>
          <w:rFonts w:ascii="Arial" w:hAnsi="Arial" w:cs="Arial"/>
          <w:sz w:val="16"/>
          <w:szCs w:val="16"/>
        </w:rPr>
        <w:footnoteRef/>
      </w:r>
      <w:r w:rsidRPr="00AB34E1">
        <w:rPr>
          <w:rFonts w:ascii="Arial" w:hAnsi="Arial" w:cs="Arial"/>
          <w:sz w:val="16"/>
          <w:szCs w:val="16"/>
          <w:lang w:val="it-IT"/>
        </w:rPr>
        <w:t xml:space="preserve"> Rielaborazione dati del gettito stimato da TTF a cura di </w:t>
      </w:r>
      <w:proofErr w:type="spellStart"/>
      <w:r w:rsidRPr="00AB34E1">
        <w:rPr>
          <w:rFonts w:ascii="Arial" w:hAnsi="Arial" w:cs="Arial"/>
          <w:sz w:val="16"/>
          <w:szCs w:val="16"/>
          <w:lang w:val="it-IT"/>
        </w:rPr>
        <w:t>Oxfam</w:t>
      </w:r>
      <w:proofErr w:type="spellEnd"/>
      <w:r w:rsidR="00F612FE" w:rsidRPr="00AB34E1">
        <w:rPr>
          <w:rFonts w:ascii="Arial" w:hAnsi="Arial" w:cs="Arial"/>
          <w:sz w:val="16"/>
          <w:szCs w:val="16"/>
          <w:lang w:val="it-IT"/>
        </w:rPr>
        <w:t xml:space="preserve"> sulla base della stima di gettito annuo di 35 miliardi previsto dalla Commissione Europea</w:t>
      </w:r>
      <w:r w:rsidRPr="00AB34E1">
        <w:rPr>
          <w:rFonts w:ascii="Arial" w:hAnsi="Arial" w:cs="Arial"/>
          <w:sz w:val="16"/>
          <w:szCs w:val="16"/>
          <w:lang w:val="it-IT"/>
        </w:rPr>
        <w:t xml:space="preserve">: </w:t>
      </w:r>
      <w:hyperlink r:id="rId5" w:history="1">
        <w:r w:rsidRPr="00AB34E1">
          <w:rPr>
            <w:rStyle w:val="Collegamentoipertestuale"/>
            <w:rFonts w:ascii="Arial" w:hAnsi="Arial" w:cs="Arial"/>
            <w:sz w:val="16"/>
            <w:szCs w:val="16"/>
            <w:lang w:val="it-IT"/>
          </w:rPr>
          <w:t>http://www.zerozerocinque.it/files/cosa%20potrebbe%20finanziare%20la%20TTF.pdf</w:t>
        </w:r>
      </w:hyperlink>
      <w:r w:rsidR="00F612FE" w:rsidRPr="00AB34E1">
        <w:rPr>
          <w:rFonts w:ascii="Arial" w:hAnsi="Arial" w:cs="Arial"/>
          <w:sz w:val="16"/>
          <w:szCs w:val="16"/>
          <w:lang w:val="it-IT"/>
        </w:rPr>
        <w:t xml:space="preserve"> </w:t>
      </w:r>
    </w:p>
    <w:p w:rsidR="00126B22" w:rsidRPr="00126B22" w:rsidRDefault="00126B22">
      <w:pPr>
        <w:pStyle w:val="Testonotaapidipagina"/>
        <w:rPr>
          <w:lang w:val="it-I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14E000C7"/>
    <w:multiLevelType w:val="hybridMultilevel"/>
    <w:tmpl w:val="CEB8ECFC"/>
    <w:lvl w:ilvl="0" w:tplc="2BD4DC4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C11EE"/>
    <w:multiLevelType w:val="hybridMultilevel"/>
    <w:tmpl w:val="299EFD8C"/>
    <w:lvl w:ilvl="0" w:tplc="6248FB84">
      <w:start w:val="1"/>
      <w:numFmt w:val="bullet"/>
      <w:lvlText w:val=""/>
      <w:lvlJc w:val="left"/>
      <w:pPr>
        <w:tabs>
          <w:tab w:val="num" w:pos="567"/>
        </w:tabs>
        <w:ind w:left="567" w:hanging="34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82505B2"/>
    <w:multiLevelType w:val="hybridMultilevel"/>
    <w:tmpl w:val="122EBE28"/>
    <w:lvl w:ilvl="0" w:tplc="C8EEE482">
      <w:start w:val="120"/>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CB51EEF"/>
    <w:multiLevelType w:val="hybridMultilevel"/>
    <w:tmpl w:val="0804CD4E"/>
    <w:lvl w:ilvl="0" w:tplc="BC84C4A4">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1909"/>
    <w:rsid w:val="00006A67"/>
    <w:rsid w:val="000128CC"/>
    <w:rsid w:val="0001578F"/>
    <w:rsid w:val="00044934"/>
    <w:rsid w:val="00064F26"/>
    <w:rsid w:val="0008315E"/>
    <w:rsid w:val="00092AE1"/>
    <w:rsid w:val="000B535B"/>
    <w:rsid w:val="000D5D1D"/>
    <w:rsid w:val="000E57A5"/>
    <w:rsid w:val="00126B22"/>
    <w:rsid w:val="00126EE2"/>
    <w:rsid w:val="00137459"/>
    <w:rsid w:val="00181219"/>
    <w:rsid w:val="001A78C5"/>
    <w:rsid w:val="001B1955"/>
    <w:rsid w:val="001C4B6C"/>
    <w:rsid w:val="001F0917"/>
    <w:rsid w:val="001F4FF7"/>
    <w:rsid w:val="00205ABC"/>
    <w:rsid w:val="0024103E"/>
    <w:rsid w:val="00247C6C"/>
    <w:rsid w:val="0025443B"/>
    <w:rsid w:val="00254FA3"/>
    <w:rsid w:val="002603A1"/>
    <w:rsid w:val="002A3ADA"/>
    <w:rsid w:val="002C6F4A"/>
    <w:rsid w:val="002E17E1"/>
    <w:rsid w:val="00304AD1"/>
    <w:rsid w:val="00313F16"/>
    <w:rsid w:val="0033592F"/>
    <w:rsid w:val="00362322"/>
    <w:rsid w:val="003825E8"/>
    <w:rsid w:val="00383438"/>
    <w:rsid w:val="003862B7"/>
    <w:rsid w:val="00394450"/>
    <w:rsid w:val="003A3CF0"/>
    <w:rsid w:val="003D331B"/>
    <w:rsid w:val="003E07A1"/>
    <w:rsid w:val="003F3ED2"/>
    <w:rsid w:val="004661A2"/>
    <w:rsid w:val="00481602"/>
    <w:rsid w:val="004C4E2E"/>
    <w:rsid w:val="00503397"/>
    <w:rsid w:val="00523AC4"/>
    <w:rsid w:val="00527876"/>
    <w:rsid w:val="00581B28"/>
    <w:rsid w:val="005B1909"/>
    <w:rsid w:val="005B5875"/>
    <w:rsid w:val="005E631E"/>
    <w:rsid w:val="0063454A"/>
    <w:rsid w:val="00651549"/>
    <w:rsid w:val="00674EE8"/>
    <w:rsid w:val="006762A7"/>
    <w:rsid w:val="0068622C"/>
    <w:rsid w:val="006C5BE8"/>
    <w:rsid w:val="006D48D0"/>
    <w:rsid w:val="006F5290"/>
    <w:rsid w:val="00706C63"/>
    <w:rsid w:val="00707D5E"/>
    <w:rsid w:val="007120D8"/>
    <w:rsid w:val="007161C0"/>
    <w:rsid w:val="0072786C"/>
    <w:rsid w:val="0076267B"/>
    <w:rsid w:val="00765418"/>
    <w:rsid w:val="0077578D"/>
    <w:rsid w:val="00783F9A"/>
    <w:rsid w:val="00797F64"/>
    <w:rsid w:val="007A36B6"/>
    <w:rsid w:val="007D08E1"/>
    <w:rsid w:val="007E359B"/>
    <w:rsid w:val="007F5F64"/>
    <w:rsid w:val="00811D78"/>
    <w:rsid w:val="00827979"/>
    <w:rsid w:val="00830DDA"/>
    <w:rsid w:val="0083281D"/>
    <w:rsid w:val="008747AA"/>
    <w:rsid w:val="008C3A82"/>
    <w:rsid w:val="00901EBB"/>
    <w:rsid w:val="00916024"/>
    <w:rsid w:val="00946FF6"/>
    <w:rsid w:val="0095116D"/>
    <w:rsid w:val="009663BB"/>
    <w:rsid w:val="009921CE"/>
    <w:rsid w:val="009A57F7"/>
    <w:rsid w:val="009B4F3B"/>
    <w:rsid w:val="009C4671"/>
    <w:rsid w:val="009E2810"/>
    <w:rsid w:val="00A05357"/>
    <w:rsid w:val="00A40867"/>
    <w:rsid w:val="00A40A02"/>
    <w:rsid w:val="00A82D35"/>
    <w:rsid w:val="00AB34E1"/>
    <w:rsid w:val="00AC526E"/>
    <w:rsid w:val="00AC6854"/>
    <w:rsid w:val="00B039D4"/>
    <w:rsid w:val="00B10480"/>
    <w:rsid w:val="00B245D7"/>
    <w:rsid w:val="00B33942"/>
    <w:rsid w:val="00B57F20"/>
    <w:rsid w:val="00B76585"/>
    <w:rsid w:val="00B8189E"/>
    <w:rsid w:val="00BA441D"/>
    <w:rsid w:val="00BB7999"/>
    <w:rsid w:val="00BE2EA0"/>
    <w:rsid w:val="00C33ECB"/>
    <w:rsid w:val="00C46A3C"/>
    <w:rsid w:val="00C52F8D"/>
    <w:rsid w:val="00C63CF7"/>
    <w:rsid w:val="00D00D99"/>
    <w:rsid w:val="00D11203"/>
    <w:rsid w:val="00D41E60"/>
    <w:rsid w:val="00D53BCE"/>
    <w:rsid w:val="00D64353"/>
    <w:rsid w:val="00D8714F"/>
    <w:rsid w:val="00DA067F"/>
    <w:rsid w:val="00DC0918"/>
    <w:rsid w:val="00DC2173"/>
    <w:rsid w:val="00DC5C8B"/>
    <w:rsid w:val="00DD4E9F"/>
    <w:rsid w:val="00DE44F1"/>
    <w:rsid w:val="00E61657"/>
    <w:rsid w:val="00E705CC"/>
    <w:rsid w:val="00EA037C"/>
    <w:rsid w:val="00EA3E08"/>
    <w:rsid w:val="00ED6A1A"/>
    <w:rsid w:val="00F10BF2"/>
    <w:rsid w:val="00F200C9"/>
    <w:rsid w:val="00F3349A"/>
    <w:rsid w:val="00F612FE"/>
    <w:rsid w:val="00F65088"/>
    <w:rsid w:val="00F93B8B"/>
    <w:rsid w:val="00FB36B4"/>
    <w:rsid w:val="00FD71BA"/>
    <w:rsid w:val="00FF29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8C5"/>
    <w:pPr>
      <w:spacing w:after="200" w:line="276" w:lineRule="auto"/>
    </w:pPr>
    <w:rPr>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
    <w:name w:val="Car"/>
    <w:aliases w:val="predefinito paragrafo"/>
    <w:uiPriority w:val="99"/>
    <w:semiHidden/>
    <w:rsid w:val="00092AE1"/>
  </w:style>
  <w:style w:type="character" w:customStyle="1" w:styleId="Car3">
    <w:name w:val="Car3"/>
    <w:aliases w:val="predefinito paragrafo3"/>
    <w:uiPriority w:val="99"/>
    <w:semiHidden/>
    <w:rsid w:val="007F5F64"/>
  </w:style>
  <w:style w:type="character" w:customStyle="1" w:styleId="Car2">
    <w:name w:val="Car2"/>
    <w:aliases w:val="predefinito paragrafo2"/>
    <w:uiPriority w:val="99"/>
    <w:semiHidden/>
    <w:rsid w:val="00946FF6"/>
  </w:style>
  <w:style w:type="character" w:customStyle="1" w:styleId="Car1">
    <w:name w:val="Car1"/>
    <w:aliases w:val="predefinito paragrafo1"/>
    <w:uiPriority w:val="99"/>
    <w:semiHidden/>
    <w:rsid w:val="00F200C9"/>
  </w:style>
  <w:style w:type="paragraph" w:styleId="Testonotaapidipagina">
    <w:name w:val="footnote text"/>
    <w:basedOn w:val="Normale"/>
    <w:link w:val="TestonotaapidipaginaCarattere"/>
    <w:uiPriority w:val="99"/>
    <w:semiHidden/>
    <w:rsid w:val="005B1909"/>
    <w:pPr>
      <w:spacing w:after="0" w:line="240" w:lineRule="auto"/>
    </w:pPr>
    <w:rPr>
      <w:sz w:val="20"/>
      <w:szCs w:val="20"/>
      <w:lang/>
    </w:rPr>
  </w:style>
  <w:style w:type="character" w:customStyle="1" w:styleId="TestonotaapidipaginaCarattere">
    <w:name w:val="Testo nota a piè di pagina Carattere"/>
    <w:link w:val="Testonotaapidipagina"/>
    <w:uiPriority w:val="99"/>
    <w:semiHidden/>
    <w:locked/>
    <w:rsid w:val="005B1909"/>
    <w:rPr>
      <w:rFonts w:cs="Times New Roman"/>
      <w:sz w:val="20"/>
      <w:szCs w:val="20"/>
    </w:rPr>
  </w:style>
  <w:style w:type="paragraph" w:styleId="NormaleWeb">
    <w:name w:val="Normal (Web)"/>
    <w:basedOn w:val="Normale"/>
    <w:uiPriority w:val="99"/>
    <w:semiHidden/>
    <w:rsid w:val="005B1909"/>
    <w:rPr>
      <w:rFonts w:ascii="Times New Roman" w:hAnsi="Times New Roman"/>
      <w:sz w:val="24"/>
      <w:szCs w:val="24"/>
    </w:rPr>
  </w:style>
  <w:style w:type="character" w:customStyle="1" w:styleId="FootnoteCharacters">
    <w:name w:val="Footnote Characters"/>
    <w:uiPriority w:val="99"/>
    <w:rsid w:val="005B1909"/>
    <w:rPr>
      <w:vertAlign w:val="superscript"/>
    </w:rPr>
  </w:style>
  <w:style w:type="character" w:styleId="Collegamentoipertestuale">
    <w:name w:val="Hyperlink"/>
    <w:uiPriority w:val="99"/>
    <w:rsid w:val="005B1909"/>
    <w:rPr>
      <w:rFonts w:cs="Times New Roman"/>
    </w:rPr>
  </w:style>
  <w:style w:type="character" w:styleId="Rimandonotaapidipagina">
    <w:name w:val="footnote reference"/>
    <w:uiPriority w:val="99"/>
    <w:rsid w:val="005B1909"/>
    <w:rPr>
      <w:rFonts w:cs="Times New Roman"/>
      <w:vertAlign w:val="superscript"/>
    </w:rPr>
  </w:style>
  <w:style w:type="character" w:styleId="Rimandocommento">
    <w:name w:val="annotation reference"/>
    <w:uiPriority w:val="99"/>
    <w:semiHidden/>
    <w:rsid w:val="005B1909"/>
    <w:rPr>
      <w:rFonts w:cs="Times New Roman"/>
      <w:sz w:val="16"/>
    </w:rPr>
  </w:style>
  <w:style w:type="paragraph" w:styleId="Testocommento">
    <w:name w:val="annotation text"/>
    <w:basedOn w:val="Normale"/>
    <w:link w:val="TestocommentoCarattere"/>
    <w:uiPriority w:val="99"/>
    <w:semiHidden/>
    <w:rsid w:val="005B1909"/>
    <w:pPr>
      <w:widowControl w:val="0"/>
      <w:suppressAutoHyphens/>
      <w:spacing w:after="0" w:line="240" w:lineRule="auto"/>
    </w:pPr>
    <w:rPr>
      <w:rFonts w:ascii="Times New Roman" w:hAnsi="Times New Roman"/>
      <w:sz w:val="20"/>
      <w:szCs w:val="20"/>
      <w:lang/>
    </w:rPr>
  </w:style>
  <w:style w:type="character" w:customStyle="1" w:styleId="TestocommentoCarattere">
    <w:name w:val="Testo commento Carattere"/>
    <w:link w:val="Testocommento"/>
    <w:uiPriority w:val="99"/>
    <w:semiHidden/>
    <w:locked/>
    <w:rsid w:val="005B1909"/>
    <w:rPr>
      <w:rFonts w:ascii="Times New Roman" w:hAnsi="Times New Roman" w:cs="Times New Roman"/>
      <w:sz w:val="20"/>
      <w:szCs w:val="20"/>
    </w:rPr>
  </w:style>
  <w:style w:type="paragraph" w:styleId="Testofumetto">
    <w:name w:val="Balloon Text"/>
    <w:basedOn w:val="Normale"/>
    <w:link w:val="TestofumettoCarattere"/>
    <w:uiPriority w:val="99"/>
    <w:semiHidden/>
    <w:rsid w:val="005B1909"/>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locked/>
    <w:rsid w:val="005B1909"/>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rsid w:val="00BE2EA0"/>
    <w:pPr>
      <w:widowControl/>
      <w:suppressAutoHyphens w:val="0"/>
      <w:spacing w:after="200" w:line="276" w:lineRule="auto"/>
    </w:pPr>
    <w:rPr>
      <w:b/>
      <w:bCs/>
      <w:lang w:val="en-GB" w:eastAsia="en-US"/>
    </w:rPr>
  </w:style>
  <w:style w:type="character" w:customStyle="1" w:styleId="SoggettocommentoCarattere">
    <w:name w:val="Soggetto commento Carattere"/>
    <w:link w:val="Soggettocommento"/>
    <w:uiPriority w:val="99"/>
    <w:semiHidden/>
    <w:locked/>
    <w:rsid w:val="00946FF6"/>
    <w:rPr>
      <w:rFonts w:ascii="Times New Roman" w:hAnsi="Times New Roman" w:cs="Times New Roman"/>
      <w:b/>
      <w:bCs/>
      <w:sz w:val="20"/>
      <w:szCs w:val="20"/>
      <w:lang w:val="en-GB" w:eastAsia="en-US"/>
    </w:rPr>
  </w:style>
  <w:style w:type="paragraph" w:styleId="Testonotadichiusura">
    <w:name w:val="endnote text"/>
    <w:basedOn w:val="Normale"/>
    <w:link w:val="TestonotadichiusuraCarattere"/>
    <w:uiPriority w:val="99"/>
    <w:semiHidden/>
    <w:unhideWhenUsed/>
    <w:rsid w:val="003862B7"/>
    <w:rPr>
      <w:sz w:val="20"/>
      <w:szCs w:val="20"/>
      <w:lang/>
    </w:rPr>
  </w:style>
  <w:style w:type="character" w:customStyle="1" w:styleId="TestonotadichiusuraCarattere">
    <w:name w:val="Testo nota di chiusura Carattere"/>
    <w:link w:val="Testonotadichiusura"/>
    <w:uiPriority w:val="99"/>
    <w:semiHidden/>
    <w:rsid w:val="003862B7"/>
    <w:rPr>
      <w:lang/>
    </w:rPr>
  </w:style>
  <w:style w:type="character" w:styleId="Rimandonotadichiusura">
    <w:name w:val="endnote reference"/>
    <w:uiPriority w:val="99"/>
    <w:semiHidden/>
    <w:unhideWhenUsed/>
    <w:rsid w:val="003862B7"/>
    <w:rPr>
      <w:vertAlign w:val="superscript"/>
    </w:rPr>
  </w:style>
  <w:style w:type="paragraph" w:styleId="Corpodeltesto">
    <w:name w:val="Body Text"/>
    <w:basedOn w:val="Normale"/>
    <w:link w:val="CorpodeltestoCarattere"/>
    <w:rsid w:val="002C6F4A"/>
    <w:pPr>
      <w:widowControl w:val="0"/>
      <w:suppressAutoHyphens/>
      <w:spacing w:after="120" w:line="240" w:lineRule="auto"/>
    </w:pPr>
    <w:rPr>
      <w:rFonts w:ascii="Nimbus Roman No9 L" w:eastAsia="DejaVu Sans" w:hAnsi="Nimbus Roman No9 L"/>
      <w:kern w:val="1"/>
      <w:sz w:val="24"/>
      <w:szCs w:val="24"/>
      <w:lang w:eastAsia="ar-SA"/>
    </w:rPr>
  </w:style>
  <w:style w:type="character" w:customStyle="1" w:styleId="CorpodeltestoCarattere">
    <w:name w:val="Corpo del testo Carattere"/>
    <w:link w:val="Corpodeltesto"/>
    <w:rsid w:val="002C6F4A"/>
    <w:rPr>
      <w:rFonts w:ascii="Nimbus Roman No9 L" w:eastAsia="DejaVu Sans" w:hAnsi="Nimbus Roman No9 L"/>
      <w:kern w:val="1"/>
      <w:sz w:val="24"/>
      <w:szCs w:val="24"/>
      <w:lang w:eastAsia="ar-SA"/>
    </w:rPr>
  </w:style>
  <w:style w:type="character" w:styleId="Enfasigrassetto">
    <w:name w:val="Strong"/>
    <w:uiPriority w:val="22"/>
    <w:qFormat/>
    <w:locked/>
    <w:rsid w:val="00DC5C8B"/>
    <w:rPr>
      <w:b/>
      <w:bCs/>
    </w:rPr>
  </w:style>
  <w:style w:type="character" w:styleId="Collegamentovisitato">
    <w:name w:val="FollowedHyperlink"/>
    <w:uiPriority w:val="99"/>
    <w:semiHidden/>
    <w:unhideWhenUsed/>
    <w:rsid w:val="00D8714F"/>
    <w:rPr>
      <w:color w:val="800080"/>
      <w:u w:val="single"/>
    </w:rPr>
  </w:style>
  <w:style w:type="character" w:styleId="Enfasicorsivo">
    <w:name w:val="Emphasis"/>
    <w:uiPriority w:val="20"/>
    <w:qFormat/>
    <w:locked/>
    <w:rsid w:val="00A4086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rozerocinque.it/index.php?option=com_content&amp;view=article&amp;id=119:1000-economisti-scrivono-al-g20-per-la-ttf&amp;catid=1:latest-news&amp;Itemid=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resources/documents/taxation/swd_2013_28_en.pdf" TargetMode="External"/><Relationship Id="rId2" Type="http://schemas.openxmlformats.org/officeDocument/2006/relationships/hyperlink" Target="http://ec.europa.eu/taxation_customs/taxation/other_taxes/financial_sector/index_en.htm" TargetMode="External"/><Relationship Id="rId1" Type="http://schemas.openxmlformats.org/officeDocument/2006/relationships/hyperlink" Target="http://www.zerozerocinque.it/index.php?option=com_content&amp;view=article&amp;id=119:1000-economisti-scrivono-al-g20-per-la-ttf&amp;catid=1:latest-news&amp;Itemid=89" TargetMode="External"/><Relationship Id="rId5" Type="http://schemas.openxmlformats.org/officeDocument/2006/relationships/hyperlink" Target="http://www.zerozerocinque.it/files/cosa%20potrebbe%20finanziare%20la%20TTF.pdf" TargetMode="External"/><Relationship Id="rId4" Type="http://schemas.openxmlformats.org/officeDocument/2006/relationships/hyperlink" Target="http://www2.weed-online.org/uploads/diw_document_english_translation_summary.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36E3E-2524-4453-957A-7F21B497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5483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ROBIN HOOD TAX MEDIA BRIEF</vt:lpstr>
    </vt:vector>
  </TitlesOfParts>
  <Company/>
  <LinksUpToDate>false</LinksUpToDate>
  <CharactersWithSpaces>6442</CharactersWithSpaces>
  <SharedDoc>false</SharedDoc>
  <HLinks>
    <vt:vector size="54" baseType="variant">
      <vt:variant>
        <vt:i4>4194338</vt:i4>
      </vt:variant>
      <vt:variant>
        <vt:i4>0</vt:i4>
      </vt:variant>
      <vt:variant>
        <vt:i4>0</vt:i4>
      </vt:variant>
      <vt:variant>
        <vt:i4>5</vt:i4>
      </vt:variant>
      <vt:variant>
        <vt:lpwstr>http://www.zerozerocinque.it/index.php?option=com_content&amp;view=article&amp;id=119:1000-economisti-scrivono-al-g20-per-la-ttf&amp;catid=1:latest-news&amp;Itemid=89</vt:lpwstr>
      </vt:variant>
      <vt:variant>
        <vt:lpwstr/>
      </vt:variant>
      <vt:variant>
        <vt:i4>6422625</vt:i4>
      </vt:variant>
      <vt:variant>
        <vt:i4>21</vt:i4>
      </vt:variant>
      <vt:variant>
        <vt:i4>0</vt:i4>
      </vt:variant>
      <vt:variant>
        <vt:i4>5</vt:i4>
      </vt:variant>
      <vt:variant>
        <vt:lpwstr>http://www.zerozerocinque.it/files/cosa potrebbe finanziare la TTF.pdf</vt:lpwstr>
      </vt:variant>
      <vt:variant>
        <vt:lpwstr/>
      </vt:variant>
      <vt:variant>
        <vt:i4>4915307</vt:i4>
      </vt:variant>
      <vt:variant>
        <vt:i4>18</vt:i4>
      </vt:variant>
      <vt:variant>
        <vt:i4>0</vt:i4>
      </vt:variant>
      <vt:variant>
        <vt:i4>5</vt:i4>
      </vt:variant>
      <vt:variant>
        <vt:lpwstr>http://www.mbres.it/sites/default/files/resources/download_it/rs_Tabelle_Banche14.pdf</vt:lpwstr>
      </vt:variant>
      <vt:variant>
        <vt:lpwstr/>
      </vt:variant>
      <vt:variant>
        <vt:i4>4784230</vt:i4>
      </vt:variant>
      <vt:variant>
        <vt:i4>15</vt:i4>
      </vt:variant>
      <vt:variant>
        <vt:i4>0</vt:i4>
      </vt:variant>
      <vt:variant>
        <vt:i4>5</vt:i4>
      </vt:variant>
      <vt:variant>
        <vt:lpwstr>http://www.mef.gov.it/primo-piano/article_0099.html</vt:lpwstr>
      </vt:variant>
      <vt:variant>
        <vt:lpwstr/>
      </vt:variant>
      <vt:variant>
        <vt:i4>983149</vt:i4>
      </vt:variant>
      <vt:variant>
        <vt:i4>12</vt:i4>
      </vt:variant>
      <vt:variant>
        <vt:i4>0</vt:i4>
      </vt:variant>
      <vt:variant>
        <vt:i4>5</vt:i4>
      </vt:variant>
      <vt:variant>
        <vt:lpwstr>http://documenti.camera.it/leg16/dossier/Testi/DV0028-II.htm</vt:lpwstr>
      </vt:variant>
      <vt:variant>
        <vt:lpwstr>_Toc348607751</vt:lpwstr>
      </vt:variant>
      <vt:variant>
        <vt:i4>6291552</vt:i4>
      </vt:variant>
      <vt:variant>
        <vt:i4>9</vt:i4>
      </vt:variant>
      <vt:variant>
        <vt:i4>0</vt:i4>
      </vt:variant>
      <vt:variant>
        <vt:i4>5</vt:i4>
      </vt:variant>
      <vt:variant>
        <vt:lpwstr>http://www2.weed-online.org/uploads/diw_document_english_translation_summary.pdf</vt:lpwstr>
      </vt:variant>
      <vt:variant>
        <vt:lpwstr/>
      </vt:variant>
      <vt:variant>
        <vt:i4>5177360</vt:i4>
      </vt:variant>
      <vt:variant>
        <vt:i4>6</vt:i4>
      </vt:variant>
      <vt:variant>
        <vt:i4>0</vt:i4>
      </vt:variant>
      <vt:variant>
        <vt:i4>5</vt:i4>
      </vt:variant>
      <vt:variant>
        <vt:lpwstr>http://ec.europa.eu/taxation_customs/resources/documents/taxation/swd_2013_28_en.pdf</vt:lpwstr>
      </vt:variant>
      <vt:variant>
        <vt:lpwstr/>
      </vt:variant>
      <vt:variant>
        <vt:i4>8060977</vt:i4>
      </vt:variant>
      <vt:variant>
        <vt:i4>3</vt:i4>
      </vt:variant>
      <vt:variant>
        <vt:i4>0</vt:i4>
      </vt:variant>
      <vt:variant>
        <vt:i4>5</vt:i4>
      </vt:variant>
      <vt:variant>
        <vt:lpwstr>http://ec.europa.eu/taxation_customs/taxation/other_taxes/financial_sector/index_en.htm</vt:lpwstr>
      </vt:variant>
      <vt:variant>
        <vt:lpwstr/>
      </vt:variant>
      <vt:variant>
        <vt:i4>4194338</vt:i4>
      </vt:variant>
      <vt:variant>
        <vt:i4>0</vt:i4>
      </vt:variant>
      <vt:variant>
        <vt:i4>0</vt:i4>
      </vt:variant>
      <vt:variant>
        <vt:i4>5</vt:i4>
      </vt:variant>
      <vt:variant>
        <vt:lpwstr>http://www.zerozerocinque.it/index.php?option=com_content&amp;view=article&amp;id=119:1000-economisti-scrivono-al-g20-per-la-ttf&amp;catid=1:latest-news&amp;Itemid=89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 HOOD TAX MEDIA BRIEF</dc:title>
  <dc:subject/>
  <dc:creator>Windows User</dc:creator>
  <cp:keywords/>
  <cp:lastModifiedBy>Sabina Galandrini</cp:lastModifiedBy>
  <cp:revision>2</cp:revision>
  <dcterms:created xsi:type="dcterms:W3CDTF">2014-12-01T14:50:00Z</dcterms:created>
  <dcterms:modified xsi:type="dcterms:W3CDTF">2014-12-01T14:50:00Z</dcterms:modified>
</cp:coreProperties>
</file>