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E7B" w:rsidRPr="00791C98" w:rsidRDefault="00366DE9" w:rsidP="00366DE9">
      <w:pPr>
        <w:jc w:val="center"/>
        <w:rPr>
          <w:b/>
          <w:color w:val="FF0000"/>
          <w:sz w:val="32"/>
        </w:rPr>
      </w:pPr>
      <w:r w:rsidRPr="00791C98">
        <w:rPr>
          <w:b/>
          <w:color w:val="FF0000"/>
          <w:sz w:val="32"/>
        </w:rPr>
        <w:t>Rapporto Anci-Conai su raccolta differenziata e riciclo dei rifiuti in Italia</w:t>
      </w:r>
    </w:p>
    <w:p w:rsidR="00366DE9" w:rsidRDefault="00366DE9" w:rsidP="00BF1251">
      <w:pPr>
        <w:jc w:val="both"/>
        <w:rPr>
          <w:b/>
        </w:rPr>
      </w:pPr>
    </w:p>
    <w:p w:rsidR="00177684" w:rsidRPr="00791C98" w:rsidRDefault="00177684" w:rsidP="00791C98">
      <w:pPr>
        <w:pStyle w:val="Paragrafoelenco"/>
        <w:numPr>
          <w:ilvl w:val="0"/>
          <w:numId w:val="3"/>
        </w:numPr>
        <w:jc w:val="both"/>
        <w:rPr>
          <w:b/>
          <w:color w:val="FF0000"/>
          <w:sz w:val="24"/>
        </w:rPr>
      </w:pPr>
      <w:r w:rsidRPr="00791C98">
        <w:rPr>
          <w:b/>
          <w:color w:val="FF0000"/>
          <w:sz w:val="24"/>
        </w:rPr>
        <w:t>Che cos’è il Rapporto Banca Dati Anci-Conai su raccolta differenziata e riciclo dei rifiuti</w:t>
      </w:r>
    </w:p>
    <w:p w:rsidR="002933DD" w:rsidRDefault="003A7E7B" w:rsidP="003A7E7B">
      <w:pPr>
        <w:jc w:val="both"/>
      </w:pPr>
      <w:r w:rsidRPr="003A7E7B">
        <w:rPr>
          <w:b/>
        </w:rPr>
        <w:t>La Banca Dati</w:t>
      </w:r>
      <w:r w:rsidRPr="003A7E7B">
        <w:t xml:space="preserve"> dal 2009 raccoglie dati e informazioni sulle raccolte differenziate in Italia. Con cadenza semestrale sono trasmessi alla piattaforma web i dati provenienti da Comuni, Regioni, Aziende di Gestione e Consorzi di Fil</w:t>
      </w:r>
      <w:r w:rsidR="00F4542D">
        <w:t xml:space="preserve">iera. Le informazioni raccolte </w:t>
      </w:r>
      <w:r w:rsidRPr="003A7E7B">
        <w:t xml:space="preserve">sono rese disponibili a tutti i Comuni italiani attraverso l’Osservatorio degli Enti Locali sulla Raccolta Differenziata. </w:t>
      </w:r>
      <w:r w:rsidR="002933DD" w:rsidRPr="002933DD">
        <w:t>I dati 2014 relativi alle quantità raccolte trasmessi dai gestori dei servizi di raccolta dei rifi</w:t>
      </w:r>
      <w:r w:rsidR="002933DD">
        <w:t xml:space="preserve">uti urbani o dai Comuni stessi </w:t>
      </w:r>
      <w:r w:rsidR="002933DD" w:rsidRPr="002933DD">
        <w:t>convenzionati con i Consorzi di Filiera e dalle Ragioni coprono</w:t>
      </w:r>
      <w:r w:rsidR="002933DD" w:rsidRPr="002933DD">
        <w:rPr>
          <w:b/>
        </w:rPr>
        <w:t xml:space="preserve"> più del 92% della popolazione totale</w:t>
      </w:r>
      <w:r w:rsidR="002933DD" w:rsidRPr="002933DD">
        <w:t xml:space="preserve"> (quasi 55 milioni di abitanti)</w:t>
      </w:r>
      <w:r w:rsidR="00E84DCF">
        <w:t>.</w:t>
      </w:r>
    </w:p>
    <w:p w:rsidR="00791C98" w:rsidRDefault="00791C98" w:rsidP="00791C98">
      <w:pPr>
        <w:jc w:val="both"/>
        <w:rPr>
          <w:rFonts w:ascii="Calibri" w:eastAsia="Times New Roman" w:hAnsi="Calibri" w:cs="Times New Roman"/>
          <w:b/>
          <w:bCs/>
          <w:noProof/>
          <w:color w:val="FF0000"/>
          <w:sz w:val="24"/>
          <w:lang w:eastAsia="it-IT"/>
        </w:rPr>
      </w:pPr>
      <w:bookmarkStart w:id="0" w:name="_Toc370421047"/>
    </w:p>
    <w:p w:rsidR="00791C98" w:rsidRPr="00791C98" w:rsidRDefault="00791C98" w:rsidP="00791C98">
      <w:pPr>
        <w:jc w:val="both"/>
        <w:rPr>
          <w:rFonts w:ascii="Calibri" w:eastAsia="Times New Roman" w:hAnsi="Calibri" w:cs="Times New Roman"/>
          <w:b/>
          <w:bCs/>
          <w:noProof/>
          <w:color w:val="FF0000"/>
          <w:sz w:val="24"/>
          <w:lang w:eastAsia="it-IT"/>
        </w:rPr>
      </w:pPr>
    </w:p>
    <w:p w:rsidR="002933DD" w:rsidRPr="00791C98" w:rsidRDefault="002933DD" w:rsidP="00791C98">
      <w:pPr>
        <w:pStyle w:val="Paragrafoelenco"/>
        <w:numPr>
          <w:ilvl w:val="0"/>
          <w:numId w:val="3"/>
        </w:numPr>
        <w:jc w:val="both"/>
        <w:rPr>
          <w:rFonts w:ascii="Calibri" w:eastAsia="Times New Roman" w:hAnsi="Calibri" w:cs="Times New Roman"/>
          <w:b/>
          <w:bCs/>
          <w:noProof/>
          <w:color w:val="FF0000"/>
          <w:sz w:val="24"/>
          <w:lang w:eastAsia="it-IT"/>
        </w:rPr>
      </w:pPr>
      <w:r w:rsidRPr="00791C98">
        <w:rPr>
          <w:rFonts w:ascii="Calibri" w:eastAsia="Times New Roman" w:hAnsi="Calibri" w:cs="Times New Roman"/>
          <w:b/>
          <w:bCs/>
          <w:noProof/>
          <w:color w:val="FF0000"/>
          <w:sz w:val="24"/>
          <w:lang w:eastAsia="it-IT"/>
        </w:rPr>
        <w:t>Composizione raccolta differenziata</w:t>
      </w:r>
      <w:bookmarkEnd w:id="0"/>
    </w:p>
    <w:p w:rsidR="002933DD" w:rsidRDefault="002933DD" w:rsidP="002933DD">
      <w:pPr>
        <w:jc w:val="both"/>
        <w:rPr>
          <w:rFonts w:ascii="Calibri" w:eastAsia="Times New Roman" w:hAnsi="Calibri" w:cs="Times New Roman"/>
          <w:noProof/>
          <w:lang w:eastAsia="it-IT"/>
        </w:rPr>
      </w:pPr>
      <w:r w:rsidRPr="002933DD">
        <w:rPr>
          <w:rFonts w:ascii="Calibri" w:eastAsia="Times New Roman" w:hAnsi="Calibri" w:cs="Times New Roman"/>
          <w:noProof/>
          <w:lang w:eastAsia="it-IT"/>
        </w:rPr>
        <w:t xml:space="preserve">La figura sottostante riporta la composizione merceologica percentuale delle raccolte differenziate secondo i dati trasmessi alla Banca Dati relativi all’anno 2014. Nella frazione umida è compreso anche il </w:t>
      </w:r>
      <w:r w:rsidRPr="002933DD">
        <w:rPr>
          <w:rFonts w:ascii="Calibri" w:eastAsia="Times New Roman" w:hAnsi="Calibri" w:cs="Times New Roman"/>
          <w:i/>
          <w:noProof/>
          <w:lang w:eastAsia="it-IT"/>
        </w:rPr>
        <w:t>verde</w:t>
      </w:r>
      <w:r w:rsidRPr="002933DD">
        <w:rPr>
          <w:rFonts w:ascii="Calibri" w:eastAsia="Times New Roman" w:hAnsi="Calibri" w:cs="Times New Roman"/>
          <w:noProof/>
          <w:lang w:eastAsia="it-IT"/>
        </w:rPr>
        <w:t xml:space="preserve"> (sfalci, ramaglie, ecc.).</w:t>
      </w:r>
    </w:p>
    <w:p w:rsidR="00791C98" w:rsidRDefault="00791C98" w:rsidP="002933DD">
      <w:pPr>
        <w:jc w:val="both"/>
        <w:rPr>
          <w:rFonts w:ascii="Calibri" w:eastAsia="Times New Roman" w:hAnsi="Calibri" w:cs="Times New Roman"/>
          <w:noProof/>
          <w:lang w:eastAsia="it-IT"/>
        </w:rPr>
      </w:pPr>
    </w:p>
    <w:p w:rsidR="002933DD" w:rsidRPr="002933DD" w:rsidRDefault="002933DD" w:rsidP="002933DD">
      <w:pPr>
        <w:jc w:val="both"/>
        <w:rPr>
          <w:rFonts w:ascii="Calibri" w:eastAsia="Times New Roman" w:hAnsi="Calibri" w:cs="Times New Roman"/>
          <w:noProof/>
          <w:lang w:eastAsia="it-IT"/>
        </w:rPr>
      </w:pPr>
      <w:r w:rsidRPr="002933DD">
        <w:rPr>
          <w:rFonts w:ascii="Calibri" w:eastAsia="Times New Roman" w:hAnsi="Calibri" w:cs="Times New Roman"/>
          <w:b/>
          <w:bCs/>
          <w:noProof/>
          <w:lang w:eastAsia="it-IT"/>
        </w:rPr>
        <w:drawing>
          <wp:inline distT="0" distB="0" distL="0" distR="0" wp14:anchorId="659F1FA2" wp14:editId="248D644B">
            <wp:extent cx="4196103" cy="3657600"/>
            <wp:effectExtent l="0" t="0" r="0" b="0"/>
            <wp:docPr id="3" name="Immagine 1" descr="Z:\16 - ANCI CONAI\AQ 2014 - 2019\2014\Rapporto BD 2014\Grafici\3.3.1Composizione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6 - ANCI CONAI\AQ 2014 - 2019\2014\Rapporto BD 2014\Grafici\3.3.1ComposizioneRD.png"/>
                    <pic:cNvPicPr>
                      <a:picLocks noChangeAspect="1" noChangeArrowheads="1"/>
                    </pic:cNvPicPr>
                  </pic:nvPicPr>
                  <pic:blipFill>
                    <a:blip r:embed="rId7" cstate="print"/>
                    <a:srcRect r="37197"/>
                    <a:stretch>
                      <a:fillRect/>
                    </a:stretch>
                  </pic:blipFill>
                  <pic:spPr bwMode="auto">
                    <a:xfrm>
                      <a:off x="0" y="0"/>
                      <a:ext cx="4298572" cy="3746918"/>
                    </a:xfrm>
                    <a:prstGeom prst="rect">
                      <a:avLst/>
                    </a:prstGeom>
                    <a:noFill/>
                    <a:ln w="9525">
                      <a:noFill/>
                      <a:miter lim="800000"/>
                      <a:headEnd/>
                      <a:tailEnd/>
                    </a:ln>
                  </pic:spPr>
                </pic:pic>
              </a:graphicData>
            </a:graphic>
          </wp:inline>
        </w:drawing>
      </w:r>
    </w:p>
    <w:p w:rsidR="00791C98" w:rsidRDefault="00791C98" w:rsidP="00177684">
      <w:pPr>
        <w:rPr>
          <w:b/>
          <w:bCs/>
          <w:color w:val="FF0000"/>
          <w:sz w:val="24"/>
        </w:rPr>
      </w:pPr>
    </w:p>
    <w:p w:rsidR="00791C98" w:rsidRDefault="00791C98" w:rsidP="00177684">
      <w:pPr>
        <w:rPr>
          <w:b/>
          <w:bCs/>
          <w:color w:val="FF0000"/>
          <w:sz w:val="24"/>
        </w:rPr>
      </w:pPr>
    </w:p>
    <w:p w:rsidR="00791C98" w:rsidRDefault="00791C98" w:rsidP="00177684">
      <w:pPr>
        <w:rPr>
          <w:b/>
          <w:bCs/>
          <w:color w:val="FF0000"/>
          <w:sz w:val="24"/>
        </w:rPr>
      </w:pPr>
    </w:p>
    <w:p w:rsidR="00791C98" w:rsidRDefault="00791C98" w:rsidP="00177684">
      <w:pPr>
        <w:rPr>
          <w:b/>
          <w:bCs/>
          <w:color w:val="FF0000"/>
          <w:sz w:val="24"/>
        </w:rPr>
      </w:pPr>
    </w:p>
    <w:p w:rsidR="00177684" w:rsidRPr="00791C98" w:rsidRDefault="00177684" w:rsidP="00791C98">
      <w:pPr>
        <w:pStyle w:val="Paragrafoelenco"/>
        <w:numPr>
          <w:ilvl w:val="0"/>
          <w:numId w:val="3"/>
        </w:numPr>
        <w:rPr>
          <w:b/>
          <w:bCs/>
          <w:color w:val="FF0000"/>
          <w:sz w:val="24"/>
        </w:rPr>
      </w:pPr>
      <w:r w:rsidRPr="00791C98">
        <w:rPr>
          <w:b/>
          <w:bCs/>
          <w:color w:val="FF0000"/>
          <w:sz w:val="24"/>
        </w:rPr>
        <w:lastRenderedPageBreak/>
        <w:t>Confronto dati 2010-2014</w:t>
      </w:r>
    </w:p>
    <w:p w:rsidR="00177684" w:rsidRPr="00177684" w:rsidRDefault="00177684" w:rsidP="00177684">
      <w:pPr>
        <w:rPr>
          <w:bCs/>
        </w:rPr>
      </w:pPr>
      <w:r w:rsidRPr="00177684">
        <w:rPr>
          <w:bCs/>
        </w:rPr>
        <w:t xml:space="preserve">Il 2014, contrariamente a quanto successo nel precedente anno, </w:t>
      </w:r>
      <w:r w:rsidRPr="00177684">
        <w:rPr>
          <w:b/>
          <w:bCs/>
        </w:rPr>
        <w:t xml:space="preserve">registra un aumento di produzione dei rifiuti urbani pro capite del 2,03%. </w:t>
      </w:r>
      <w:r w:rsidRPr="00177684">
        <w:rPr>
          <w:bCs/>
        </w:rPr>
        <w:t xml:space="preserve">Risulta ancora un calo </w:t>
      </w:r>
      <w:r>
        <w:rPr>
          <w:bCs/>
        </w:rPr>
        <w:t xml:space="preserve">rispetto agli anni precedenti: </w:t>
      </w:r>
      <w:r w:rsidRPr="00177684">
        <w:rPr>
          <w:bCs/>
        </w:rPr>
        <w:t xml:space="preserve">- 3,1% rispetto al 2012 e un complessivo meno 5,17% rispetto al 2010 (si passa dai 535,78 kg/ab.*anno del 2010 ai 508,08 kg/ab.*anno del 2014). </w:t>
      </w:r>
    </w:p>
    <w:p w:rsidR="00177684" w:rsidRPr="00177684" w:rsidRDefault="00177684" w:rsidP="00177684">
      <w:pPr>
        <w:rPr>
          <w:bCs/>
        </w:rPr>
      </w:pPr>
      <w:r w:rsidRPr="00177684">
        <w:rPr>
          <w:bCs/>
        </w:rPr>
        <w:t>Confronto produzione pro capite di Rifiuti Urbani totali, anni 2010 – 2014</w:t>
      </w:r>
    </w:p>
    <w:p w:rsidR="00177684" w:rsidRPr="00177684" w:rsidRDefault="00177684" w:rsidP="00177684">
      <w:pPr>
        <w:rPr>
          <w:bCs/>
        </w:rPr>
      </w:pPr>
      <w:r w:rsidRPr="00177684">
        <w:rPr>
          <w:bCs/>
        </w:rPr>
        <w:t xml:space="preserve"> </w:t>
      </w:r>
      <w:r>
        <w:rPr>
          <w:bCs/>
          <w:noProof/>
          <w:lang w:eastAsia="it-IT"/>
        </w:rPr>
        <w:drawing>
          <wp:inline distT="0" distB="0" distL="0" distR="0" wp14:anchorId="474CFDB6">
            <wp:extent cx="4257675" cy="255606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0265" cy="2557621"/>
                    </a:xfrm>
                    <a:prstGeom prst="rect">
                      <a:avLst/>
                    </a:prstGeom>
                    <a:noFill/>
                  </pic:spPr>
                </pic:pic>
              </a:graphicData>
            </a:graphic>
          </wp:inline>
        </w:drawing>
      </w:r>
    </w:p>
    <w:p w:rsidR="00177684" w:rsidRPr="00177684" w:rsidRDefault="00177684" w:rsidP="00177684">
      <w:pPr>
        <w:jc w:val="both"/>
        <w:rPr>
          <w:bCs/>
        </w:rPr>
      </w:pPr>
      <w:r w:rsidRPr="00177684">
        <w:rPr>
          <w:bCs/>
        </w:rPr>
        <w:t xml:space="preserve">Ma è comunque un dato significativo di controtendenza segno inequivocabile non di un fallimento delle politiche di prevenzione ma di un </w:t>
      </w:r>
      <w:r w:rsidRPr="00177684">
        <w:rPr>
          <w:b/>
          <w:bCs/>
        </w:rPr>
        <w:t>generale aumento dei consumi interni</w:t>
      </w:r>
      <w:r>
        <w:rPr>
          <w:bCs/>
        </w:rPr>
        <w:t>,</w:t>
      </w:r>
      <w:r w:rsidRPr="00177684">
        <w:rPr>
          <w:bCs/>
        </w:rPr>
        <w:t xml:space="preserve"> confermato dai dati CONAI circa l’immesso al consumo ne</w:t>
      </w:r>
      <w:r w:rsidR="00D43735">
        <w:rPr>
          <w:bCs/>
        </w:rPr>
        <w:t>ll’anno 2014 che segna un +3,4</w:t>
      </w:r>
      <w:bookmarkStart w:id="1" w:name="_GoBack"/>
      <w:bookmarkEnd w:id="1"/>
      <w:r w:rsidRPr="00177684">
        <w:rPr>
          <w:bCs/>
        </w:rPr>
        <w:t>% rispetto al 2013.</w:t>
      </w:r>
    </w:p>
    <w:p w:rsidR="00791C98" w:rsidRPr="002A2A80" w:rsidRDefault="00791C98">
      <w:pPr>
        <w:rPr>
          <w:b/>
          <w:color w:val="FF0000"/>
          <w:sz w:val="28"/>
        </w:rPr>
      </w:pPr>
    </w:p>
    <w:p w:rsidR="00713E3D" w:rsidRPr="002A2A80" w:rsidRDefault="00183F3F" w:rsidP="00183F3F">
      <w:pPr>
        <w:pStyle w:val="Paragrafoelenco"/>
        <w:numPr>
          <w:ilvl w:val="0"/>
          <w:numId w:val="2"/>
        </w:numPr>
        <w:spacing w:after="200" w:line="276" w:lineRule="auto"/>
        <w:rPr>
          <w:rFonts w:ascii="Calibri" w:eastAsia="Calibri" w:hAnsi="Calibri" w:cs="Times New Roman"/>
          <w:b/>
          <w:bCs/>
          <w:color w:val="FF0000"/>
          <w:sz w:val="24"/>
        </w:rPr>
      </w:pPr>
      <w:r w:rsidRPr="002A2A80">
        <w:rPr>
          <w:rFonts w:ascii="Calibri" w:eastAsia="Calibri" w:hAnsi="Calibri" w:cs="Times New Roman"/>
          <w:b/>
          <w:bCs/>
          <w:color w:val="FF0000"/>
          <w:sz w:val="24"/>
        </w:rPr>
        <w:t>Percentuale di AVVIO A RICICLO</w:t>
      </w:r>
      <w:r w:rsidR="00713E3D" w:rsidRPr="002A2A80">
        <w:rPr>
          <w:rFonts w:ascii="Calibri" w:eastAsia="Calibri" w:hAnsi="Calibri" w:cs="Times New Roman"/>
          <w:b/>
          <w:bCs/>
          <w:color w:val="FF0000"/>
          <w:sz w:val="24"/>
        </w:rPr>
        <w:t xml:space="preserve"> per Regione, anno 2014</w:t>
      </w:r>
    </w:p>
    <w:tbl>
      <w:tblPr>
        <w:tblW w:w="3894" w:type="dxa"/>
        <w:jc w:val="center"/>
        <w:tblCellMar>
          <w:left w:w="70" w:type="dxa"/>
          <w:right w:w="70" w:type="dxa"/>
        </w:tblCellMar>
        <w:tblLook w:val="04A0" w:firstRow="1" w:lastRow="0" w:firstColumn="1" w:lastColumn="0" w:noHBand="0" w:noVBand="1"/>
      </w:tblPr>
      <w:tblGrid>
        <w:gridCol w:w="1974"/>
        <w:gridCol w:w="960"/>
        <w:gridCol w:w="960"/>
      </w:tblGrid>
      <w:tr w:rsidR="00713E3D" w:rsidRPr="00713E3D" w:rsidTr="005E32C9">
        <w:trPr>
          <w:trHeight w:val="765"/>
          <w:tblHeader/>
          <w:jc w:val="center"/>
        </w:trPr>
        <w:tc>
          <w:tcPr>
            <w:tcW w:w="1974" w:type="dxa"/>
            <w:tcBorders>
              <w:top w:val="single" w:sz="4" w:space="0" w:color="auto"/>
              <w:left w:val="nil"/>
              <w:bottom w:val="single" w:sz="4" w:space="0" w:color="auto"/>
              <w:right w:val="nil"/>
            </w:tcBorders>
            <w:shd w:val="clear" w:color="auto" w:fill="auto"/>
            <w:vAlign w:val="center"/>
            <w:hideMark/>
          </w:tcPr>
          <w:p w:rsidR="00713E3D" w:rsidRPr="00713E3D" w:rsidRDefault="00713E3D" w:rsidP="00713E3D">
            <w:pPr>
              <w:spacing w:after="0" w:line="240" w:lineRule="auto"/>
              <w:jc w:val="center"/>
              <w:rPr>
                <w:rFonts w:ascii="Calibri" w:eastAsia="Times New Roman" w:hAnsi="Calibri" w:cs="Times New Roman"/>
                <w:b/>
                <w:bCs/>
                <w:color w:val="000000"/>
                <w:sz w:val="20"/>
                <w:szCs w:val="20"/>
                <w:lang w:eastAsia="it-IT"/>
              </w:rPr>
            </w:pPr>
            <w:r w:rsidRPr="00713E3D">
              <w:rPr>
                <w:rFonts w:ascii="Calibri" w:eastAsia="Times New Roman" w:hAnsi="Calibri" w:cs="Times New Roman"/>
                <w:b/>
                <w:bCs/>
                <w:color w:val="000000"/>
                <w:sz w:val="20"/>
                <w:szCs w:val="20"/>
                <w:lang w:eastAsia="it-IT"/>
              </w:rPr>
              <w:t>Regione</w:t>
            </w:r>
          </w:p>
        </w:tc>
        <w:tc>
          <w:tcPr>
            <w:tcW w:w="960" w:type="dxa"/>
            <w:tcBorders>
              <w:top w:val="single" w:sz="4" w:space="0" w:color="auto"/>
              <w:left w:val="nil"/>
              <w:bottom w:val="single" w:sz="4" w:space="0" w:color="auto"/>
              <w:right w:val="nil"/>
            </w:tcBorders>
            <w:shd w:val="clear" w:color="auto" w:fill="auto"/>
            <w:vAlign w:val="center"/>
            <w:hideMark/>
          </w:tcPr>
          <w:p w:rsidR="00713E3D" w:rsidRPr="00713E3D" w:rsidRDefault="00713E3D" w:rsidP="00713E3D">
            <w:pPr>
              <w:spacing w:after="0" w:line="240" w:lineRule="auto"/>
              <w:jc w:val="center"/>
              <w:rPr>
                <w:rFonts w:ascii="Calibri" w:eastAsia="Times New Roman" w:hAnsi="Calibri" w:cs="Times New Roman"/>
                <w:b/>
                <w:bCs/>
                <w:color w:val="000000"/>
                <w:sz w:val="20"/>
                <w:szCs w:val="20"/>
                <w:lang w:eastAsia="it-IT"/>
              </w:rPr>
            </w:pPr>
            <w:r w:rsidRPr="00713E3D">
              <w:rPr>
                <w:rFonts w:ascii="Calibri" w:eastAsia="Times New Roman" w:hAnsi="Calibri" w:cs="Times New Roman"/>
                <w:b/>
                <w:bCs/>
                <w:color w:val="000000"/>
                <w:sz w:val="20"/>
                <w:szCs w:val="20"/>
                <w:lang w:eastAsia="it-IT"/>
              </w:rPr>
              <w:t>% Avvio a Riciclo</w:t>
            </w:r>
          </w:p>
        </w:tc>
        <w:tc>
          <w:tcPr>
            <w:tcW w:w="960" w:type="dxa"/>
            <w:tcBorders>
              <w:top w:val="single" w:sz="4" w:space="0" w:color="auto"/>
              <w:left w:val="nil"/>
              <w:bottom w:val="single" w:sz="4" w:space="0" w:color="auto"/>
              <w:right w:val="nil"/>
            </w:tcBorders>
            <w:shd w:val="clear" w:color="auto" w:fill="auto"/>
            <w:vAlign w:val="center"/>
            <w:hideMark/>
          </w:tcPr>
          <w:p w:rsidR="00713E3D" w:rsidRPr="00713E3D" w:rsidRDefault="00713E3D" w:rsidP="00713E3D">
            <w:pPr>
              <w:spacing w:after="0" w:line="240" w:lineRule="auto"/>
              <w:jc w:val="center"/>
              <w:rPr>
                <w:rFonts w:ascii="Calibri" w:eastAsia="Times New Roman" w:hAnsi="Calibri" w:cs="Times New Roman"/>
                <w:b/>
                <w:bCs/>
                <w:color w:val="000000"/>
                <w:sz w:val="20"/>
                <w:szCs w:val="20"/>
                <w:lang w:eastAsia="it-IT"/>
              </w:rPr>
            </w:pPr>
            <w:r w:rsidRPr="00713E3D">
              <w:rPr>
                <w:rFonts w:ascii="Calibri" w:eastAsia="Times New Roman" w:hAnsi="Calibri" w:cs="Times New Roman"/>
                <w:b/>
                <w:bCs/>
                <w:color w:val="000000"/>
                <w:sz w:val="20"/>
                <w:szCs w:val="20"/>
                <w:lang w:eastAsia="it-IT"/>
              </w:rPr>
              <w:t>% RD</w:t>
            </w:r>
          </w:p>
        </w:tc>
      </w:tr>
      <w:tr w:rsidR="00713E3D" w:rsidRPr="00713E3D" w:rsidTr="00713E3D">
        <w:trPr>
          <w:trHeight w:val="300"/>
          <w:jc w:val="center"/>
        </w:trPr>
        <w:tc>
          <w:tcPr>
            <w:tcW w:w="1974" w:type="dxa"/>
            <w:tcBorders>
              <w:top w:val="nil"/>
              <w:left w:val="nil"/>
              <w:bottom w:val="nil"/>
              <w:right w:val="nil"/>
            </w:tcBorders>
            <w:shd w:val="clear" w:color="auto" w:fill="auto"/>
            <w:noWrap/>
            <w:vAlign w:val="bottom"/>
            <w:hideMark/>
          </w:tcPr>
          <w:p w:rsidR="00713E3D" w:rsidRPr="00713E3D" w:rsidRDefault="00713E3D" w:rsidP="00713E3D">
            <w:pPr>
              <w:spacing w:after="0" w:line="240" w:lineRule="auto"/>
              <w:rPr>
                <w:rFonts w:ascii="Calibri" w:eastAsia="Times New Roman" w:hAnsi="Calibri" w:cs="Times New Roman"/>
                <w:color w:val="000000"/>
                <w:sz w:val="20"/>
                <w:szCs w:val="20"/>
                <w:lang w:eastAsia="it-IT"/>
              </w:rPr>
            </w:pPr>
            <w:r w:rsidRPr="00713E3D">
              <w:rPr>
                <w:rFonts w:ascii="Calibri" w:eastAsia="Times New Roman" w:hAnsi="Calibri" w:cs="Times New Roman"/>
                <w:color w:val="000000"/>
                <w:sz w:val="20"/>
                <w:szCs w:val="20"/>
                <w:lang w:eastAsia="it-IT"/>
              </w:rPr>
              <w:t>Piemonte</w:t>
            </w:r>
          </w:p>
        </w:tc>
        <w:tc>
          <w:tcPr>
            <w:tcW w:w="960" w:type="dxa"/>
            <w:tcBorders>
              <w:top w:val="nil"/>
              <w:left w:val="nil"/>
              <w:bottom w:val="nil"/>
              <w:right w:val="nil"/>
            </w:tcBorders>
            <w:shd w:val="clear" w:color="auto" w:fill="DBE5F1"/>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53,56%</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53,15%</w:t>
            </w:r>
          </w:p>
        </w:tc>
      </w:tr>
      <w:tr w:rsidR="00713E3D" w:rsidRPr="00713E3D" w:rsidTr="005E32C9">
        <w:trPr>
          <w:trHeight w:val="300"/>
          <w:jc w:val="center"/>
        </w:trPr>
        <w:tc>
          <w:tcPr>
            <w:tcW w:w="1974" w:type="dxa"/>
            <w:tcBorders>
              <w:top w:val="nil"/>
              <w:left w:val="nil"/>
              <w:bottom w:val="nil"/>
              <w:right w:val="nil"/>
            </w:tcBorders>
            <w:shd w:val="clear" w:color="auto" w:fill="auto"/>
            <w:noWrap/>
            <w:vAlign w:val="bottom"/>
            <w:hideMark/>
          </w:tcPr>
          <w:p w:rsidR="00713E3D" w:rsidRPr="00713E3D" w:rsidRDefault="00713E3D" w:rsidP="00713E3D">
            <w:pPr>
              <w:spacing w:after="0" w:line="240" w:lineRule="auto"/>
              <w:rPr>
                <w:rFonts w:ascii="Calibri" w:eastAsia="Times New Roman" w:hAnsi="Calibri" w:cs="Times New Roman"/>
                <w:color w:val="000000"/>
                <w:sz w:val="20"/>
                <w:szCs w:val="20"/>
                <w:lang w:eastAsia="it-IT"/>
              </w:rPr>
            </w:pPr>
            <w:r w:rsidRPr="00713E3D">
              <w:rPr>
                <w:rFonts w:ascii="Calibri" w:eastAsia="Times New Roman" w:hAnsi="Calibri" w:cs="Times New Roman"/>
                <w:color w:val="000000"/>
                <w:sz w:val="20"/>
                <w:szCs w:val="20"/>
                <w:lang w:eastAsia="it-IT"/>
              </w:rPr>
              <w:t>Valle D'Aosta</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46,80%</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41,79%</w:t>
            </w:r>
          </w:p>
        </w:tc>
      </w:tr>
      <w:tr w:rsidR="00713E3D" w:rsidRPr="00713E3D" w:rsidTr="005E32C9">
        <w:trPr>
          <w:trHeight w:val="300"/>
          <w:jc w:val="center"/>
        </w:trPr>
        <w:tc>
          <w:tcPr>
            <w:tcW w:w="1974" w:type="dxa"/>
            <w:tcBorders>
              <w:top w:val="nil"/>
              <w:left w:val="nil"/>
              <w:bottom w:val="nil"/>
              <w:right w:val="nil"/>
            </w:tcBorders>
            <w:shd w:val="clear" w:color="auto" w:fill="auto"/>
            <w:noWrap/>
            <w:vAlign w:val="bottom"/>
            <w:hideMark/>
          </w:tcPr>
          <w:p w:rsidR="00713E3D" w:rsidRPr="00713E3D" w:rsidRDefault="00713E3D" w:rsidP="00713E3D">
            <w:pPr>
              <w:spacing w:after="0" w:line="240" w:lineRule="auto"/>
              <w:rPr>
                <w:rFonts w:ascii="Calibri" w:eastAsia="Times New Roman" w:hAnsi="Calibri" w:cs="Times New Roman"/>
                <w:color w:val="000000"/>
                <w:sz w:val="20"/>
                <w:szCs w:val="20"/>
                <w:lang w:eastAsia="it-IT"/>
              </w:rPr>
            </w:pPr>
            <w:r w:rsidRPr="00713E3D">
              <w:rPr>
                <w:rFonts w:ascii="Calibri" w:eastAsia="Times New Roman" w:hAnsi="Calibri" w:cs="Times New Roman"/>
                <w:color w:val="000000"/>
                <w:sz w:val="20"/>
                <w:szCs w:val="20"/>
                <w:lang w:eastAsia="it-IT"/>
              </w:rPr>
              <w:t>Lombardia</w:t>
            </w:r>
          </w:p>
        </w:tc>
        <w:tc>
          <w:tcPr>
            <w:tcW w:w="960" w:type="dxa"/>
            <w:tcBorders>
              <w:top w:val="nil"/>
              <w:left w:val="nil"/>
              <w:bottom w:val="nil"/>
              <w:right w:val="nil"/>
            </w:tcBorders>
            <w:shd w:val="clear" w:color="000000" w:fill="DBE5F1"/>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57,02%</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60,84%</w:t>
            </w:r>
          </w:p>
        </w:tc>
      </w:tr>
      <w:tr w:rsidR="00713E3D" w:rsidRPr="00713E3D" w:rsidTr="00713E3D">
        <w:trPr>
          <w:trHeight w:val="300"/>
          <w:jc w:val="center"/>
        </w:trPr>
        <w:tc>
          <w:tcPr>
            <w:tcW w:w="1974" w:type="dxa"/>
            <w:tcBorders>
              <w:top w:val="nil"/>
              <w:left w:val="nil"/>
              <w:bottom w:val="nil"/>
              <w:right w:val="nil"/>
            </w:tcBorders>
            <w:shd w:val="clear" w:color="auto" w:fill="auto"/>
            <w:noWrap/>
            <w:vAlign w:val="bottom"/>
            <w:hideMark/>
          </w:tcPr>
          <w:p w:rsidR="00713E3D" w:rsidRPr="00713E3D" w:rsidRDefault="00713E3D" w:rsidP="00713E3D">
            <w:pPr>
              <w:spacing w:after="0" w:line="240" w:lineRule="auto"/>
              <w:rPr>
                <w:rFonts w:ascii="Calibri" w:eastAsia="Times New Roman" w:hAnsi="Calibri" w:cs="Times New Roman"/>
                <w:color w:val="000000"/>
                <w:sz w:val="20"/>
                <w:szCs w:val="20"/>
                <w:lang w:eastAsia="it-IT"/>
              </w:rPr>
            </w:pPr>
            <w:r w:rsidRPr="00713E3D">
              <w:rPr>
                <w:rFonts w:ascii="Calibri" w:eastAsia="Times New Roman" w:hAnsi="Calibri" w:cs="Times New Roman"/>
                <w:color w:val="000000"/>
                <w:sz w:val="20"/>
                <w:szCs w:val="20"/>
                <w:lang w:eastAsia="it-IT"/>
              </w:rPr>
              <w:t>Trentino Alto Adige</w:t>
            </w:r>
          </w:p>
        </w:tc>
        <w:tc>
          <w:tcPr>
            <w:tcW w:w="960" w:type="dxa"/>
            <w:tcBorders>
              <w:top w:val="nil"/>
              <w:left w:val="nil"/>
              <w:bottom w:val="nil"/>
              <w:right w:val="nil"/>
            </w:tcBorders>
            <w:shd w:val="clear" w:color="000000" w:fill="DBE5F1"/>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68,02%</w:t>
            </w:r>
          </w:p>
        </w:tc>
        <w:tc>
          <w:tcPr>
            <w:tcW w:w="960" w:type="dxa"/>
            <w:tcBorders>
              <w:top w:val="nil"/>
              <w:left w:val="nil"/>
              <w:bottom w:val="nil"/>
              <w:right w:val="nil"/>
            </w:tcBorders>
            <w:shd w:val="clear" w:color="auto" w:fill="DBE5F1"/>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65,63%</w:t>
            </w:r>
          </w:p>
        </w:tc>
      </w:tr>
      <w:tr w:rsidR="00713E3D" w:rsidRPr="00713E3D" w:rsidTr="005E32C9">
        <w:trPr>
          <w:trHeight w:val="300"/>
          <w:jc w:val="center"/>
        </w:trPr>
        <w:tc>
          <w:tcPr>
            <w:tcW w:w="1974" w:type="dxa"/>
            <w:tcBorders>
              <w:top w:val="nil"/>
              <w:left w:val="nil"/>
              <w:bottom w:val="nil"/>
              <w:right w:val="nil"/>
            </w:tcBorders>
            <w:shd w:val="clear" w:color="auto" w:fill="auto"/>
            <w:noWrap/>
            <w:vAlign w:val="bottom"/>
            <w:hideMark/>
          </w:tcPr>
          <w:p w:rsidR="00713E3D" w:rsidRPr="00713E3D" w:rsidRDefault="00713E3D" w:rsidP="00713E3D">
            <w:pPr>
              <w:spacing w:after="0" w:line="240" w:lineRule="auto"/>
              <w:rPr>
                <w:rFonts w:ascii="Calibri" w:eastAsia="Times New Roman" w:hAnsi="Calibri" w:cs="Times New Roman"/>
                <w:color w:val="000000"/>
                <w:sz w:val="20"/>
                <w:szCs w:val="20"/>
                <w:lang w:eastAsia="it-IT"/>
              </w:rPr>
            </w:pPr>
            <w:r w:rsidRPr="00713E3D">
              <w:rPr>
                <w:rFonts w:ascii="Calibri" w:eastAsia="Times New Roman" w:hAnsi="Calibri" w:cs="Times New Roman"/>
                <w:color w:val="000000"/>
                <w:sz w:val="20"/>
                <w:szCs w:val="20"/>
                <w:lang w:eastAsia="it-IT"/>
              </w:rPr>
              <w:t>Veneto</w:t>
            </w:r>
          </w:p>
        </w:tc>
        <w:tc>
          <w:tcPr>
            <w:tcW w:w="960" w:type="dxa"/>
            <w:tcBorders>
              <w:top w:val="nil"/>
              <w:left w:val="nil"/>
              <w:bottom w:val="nil"/>
              <w:right w:val="nil"/>
            </w:tcBorders>
            <w:shd w:val="clear" w:color="000000" w:fill="DBE5F1"/>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51,63%</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51,66%</w:t>
            </w:r>
          </w:p>
        </w:tc>
      </w:tr>
      <w:tr w:rsidR="00713E3D" w:rsidRPr="00713E3D" w:rsidTr="005E32C9">
        <w:trPr>
          <w:trHeight w:val="300"/>
          <w:jc w:val="center"/>
        </w:trPr>
        <w:tc>
          <w:tcPr>
            <w:tcW w:w="1974" w:type="dxa"/>
            <w:tcBorders>
              <w:top w:val="nil"/>
              <w:left w:val="nil"/>
              <w:bottom w:val="nil"/>
              <w:right w:val="nil"/>
            </w:tcBorders>
            <w:shd w:val="clear" w:color="auto" w:fill="auto"/>
            <w:noWrap/>
            <w:vAlign w:val="bottom"/>
            <w:hideMark/>
          </w:tcPr>
          <w:p w:rsidR="00713E3D" w:rsidRPr="00713E3D" w:rsidRDefault="00713E3D" w:rsidP="00713E3D">
            <w:pPr>
              <w:spacing w:after="0" w:line="240" w:lineRule="auto"/>
              <w:rPr>
                <w:rFonts w:ascii="Calibri" w:eastAsia="Times New Roman" w:hAnsi="Calibri" w:cs="Times New Roman"/>
                <w:color w:val="000000"/>
                <w:sz w:val="20"/>
                <w:szCs w:val="20"/>
                <w:lang w:eastAsia="it-IT"/>
              </w:rPr>
            </w:pPr>
            <w:r w:rsidRPr="00713E3D">
              <w:rPr>
                <w:rFonts w:ascii="Calibri" w:eastAsia="Times New Roman" w:hAnsi="Calibri" w:cs="Times New Roman"/>
                <w:color w:val="000000"/>
                <w:sz w:val="20"/>
                <w:szCs w:val="20"/>
                <w:lang w:eastAsia="it-IT"/>
              </w:rPr>
              <w:t>Friuli Venezia Giulia</w:t>
            </w:r>
          </w:p>
        </w:tc>
        <w:tc>
          <w:tcPr>
            <w:tcW w:w="960" w:type="dxa"/>
            <w:tcBorders>
              <w:top w:val="nil"/>
              <w:left w:val="nil"/>
              <w:bottom w:val="nil"/>
              <w:right w:val="nil"/>
            </w:tcBorders>
            <w:shd w:val="clear" w:color="000000" w:fill="DBE5F1"/>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57,47%</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56,52%</w:t>
            </w:r>
          </w:p>
        </w:tc>
      </w:tr>
      <w:tr w:rsidR="00713E3D" w:rsidRPr="00713E3D" w:rsidTr="005E32C9">
        <w:trPr>
          <w:trHeight w:val="300"/>
          <w:jc w:val="center"/>
        </w:trPr>
        <w:tc>
          <w:tcPr>
            <w:tcW w:w="1974" w:type="dxa"/>
            <w:tcBorders>
              <w:top w:val="nil"/>
              <w:left w:val="nil"/>
              <w:bottom w:val="nil"/>
              <w:right w:val="nil"/>
            </w:tcBorders>
            <w:shd w:val="clear" w:color="auto" w:fill="auto"/>
            <w:noWrap/>
            <w:vAlign w:val="bottom"/>
            <w:hideMark/>
          </w:tcPr>
          <w:p w:rsidR="00713E3D" w:rsidRPr="00713E3D" w:rsidRDefault="00713E3D" w:rsidP="00713E3D">
            <w:pPr>
              <w:spacing w:after="0" w:line="240" w:lineRule="auto"/>
              <w:rPr>
                <w:rFonts w:ascii="Calibri" w:eastAsia="Times New Roman" w:hAnsi="Calibri" w:cs="Times New Roman"/>
                <w:color w:val="000000"/>
                <w:sz w:val="20"/>
                <w:szCs w:val="20"/>
                <w:lang w:eastAsia="it-IT"/>
              </w:rPr>
            </w:pPr>
            <w:r w:rsidRPr="00713E3D">
              <w:rPr>
                <w:rFonts w:ascii="Calibri" w:eastAsia="Times New Roman" w:hAnsi="Calibri" w:cs="Times New Roman"/>
                <w:color w:val="000000"/>
                <w:sz w:val="20"/>
                <w:szCs w:val="20"/>
                <w:lang w:eastAsia="it-IT"/>
              </w:rPr>
              <w:t>Liguria</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31,69%</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35,90%</w:t>
            </w:r>
          </w:p>
        </w:tc>
      </w:tr>
      <w:tr w:rsidR="00713E3D" w:rsidRPr="00713E3D" w:rsidTr="00713E3D">
        <w:trPr>
          <w:trHeight w:val="300"/>
          <w:jc w:val="center"/>
        </w:trPr>
        <w:tc>
          <w:tcPr>
            <w:tcW w:w="1974" w:type="dxa"/>
            <w:tcBorders>
              <w:top w:val="nil"/>
              <w:left w:val="nil"/>
              <w:bottom w:val="nil"/>
              <w:right w:val="nil"/>
            </w:tcBorders>
            <w:shd w:val="clear" w:color="auto" w:fill="auto"/>
            <w:noWrap/>
            <w:vAlign w:val="bottom"/>
            <w:hideMark/>
          </w:tcPr>
          <w:p w:rsidR="00713E3D" w:rsidRPr="00713E3D" w:rsidRDefault="00713E3D" w:rsidP="00713E3D">
            <w:pPr>
              <w:spacing w:after="0" w:line="240" w:lineRule="auto"/>
              <w:rPr>
                <w:rFonts w:ascii="Calibri" w:eastAsia="Times New Roman" w:hAnsi="Calibri" w:cs="Times New Roman"/>
                <w:color w:val="000000"/>
                <w:sz w:val="20"/>
                <w:szCs w:val="20"/>
                <w:lang w:eastAsia="it-IT"/>
              </w:rPr>
            </w:pPr>
            <w:r w:rsidRPr="00713E3D">
              <w:rPr>
                <w:rFonts w:ascii="Calibri" w:eastAsia="Times New Roman" w:hAnsi="Calibri" w:cs="Times New Roman"/>
                <w:color w:val="000000"/>
                <w:sz w:val="20"/>
                <w:szCs w:val="20"/>
                <w:lang w:eastAsia="it-IT"/>
              </w:rPr>
              <w:t>Emilia Romagna</w:t>
            </w:r>
          </w:p>
        </w:tc>
        <w:tc>
          <w:tcPr>
            <w:tcW w:w="960" w:type="dxa"/>
            <w:tcBorders>
              <w:top w:val="nil"/>
              <w:left w:val="nil"/>
              <w:bottom w:val="nil"/>
              <w:right w:val="nil"/>
            </w:tcBorders>
            <w:shd w:val="clear" w:color="auto" w:fill="DBE5F1"/>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52,54%</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52,53%</w:t>
            </w:r>
          </w:p>
        </w:tc>
      </w:tr>
      <w:tr w:rsidR="00713E3D" w:rsidRPr="00713E3D" w:rsidTr="005E32C9">
        <w:trPr>
          <w:trHeight w:val="300"/>
          <w:jc w:val="center"/>
        </w:trPr>
        <w:tc>
          <w:tcPr>
            <w:tcW w:w="1974" w:type="dxa"/>
            <w:tcBorders>
              <w:top w:val="nil"/>
              <w:left w:val="nil"/>
              <w:bottom w:val="nil"/>
              <w:right w:val="nil"/>
            </w:tcBorders>
            <w:shd w:val="clear" w:color="auto" w:fill="auto"/>
            <w:noWrap/>
            <w:vAlign w:val="bottom"/>
            <w:hideMark/>
          </w:tcPr>
          <w:p w:rsidR="00713E3D" w:rsidRPr="00713E3D" w:rsidRDefault="00713E3D" w:rsidP="00713E3D">
            <w:pPr>
              <w:spacing w:after="0" w:line="240" w:lineRule="auto"/>
              <w:rPr>
                <w:rFonts w:ascii="Calibri" w:eastAsia="Times New Roman" w:hAnsi="Calibri" w:cs="Times New Roman"/>
                <w:color w:val="000000"/>
                <w:sz w:val="20"/>
                <w:szCs w:val="20"/>
                <w:lang w:eastAsia="it-IT"/>
              </w:rPr>
            </w:pPr>
            <w:r w:rsidRPr="00713E3D">
              <w:rPr>
                <w:rFonts w:ascii="Calibri" w:eastAsia="Times New Roman" w:hAnsi="Calibri" w:cs="Times New Roman"/>
                <w:color w:val="000000"/>
                <w:sz w:val="20"/>
                <w:szCs w:val="20"/>
                <w:lang w:eastAsia="it-IT"/>
              </w:rPr>
              <w:t>Toscana</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40,71%</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42,01%</w:t>
            </w:r>
          </w:p>
        </w:tc>
      </w:tr>
      <w:tr w:rsidR="00713E3D" w:rsidRPr="00713E3D" w:rsidTr="005E32C9">
        <w:trPr>
          <w:trHeight w:val="300"/>
          <w:jc w:val="center"/>
        </w:trPr>
        <w:tc>
          <w:tcPr>
            <w:tcW w:w="1974" w:type="dxa"/>
            <w:tcBorders>
              <w:top w:val="nil"/>
              <w:left w:val="nil"/>
              <w:bottom w:val="nil"/>
              <w:right w:val="nil"/>
            </w:tcBorders>
            <w:shd w:val="clear" w:color="auto" w:fill="auto"/>
            <w:noWrap/>
            <w:vAlign w:val="bottom"/>
            <w:hideMark/>
          </w:tcPr>
          <w:p w:rsidR="00713E3D" w:rsidRPr="00713E3D" w:rsidRDefault="00713E3D" w:rsidP="00713E3D">
            <w:pPr>
              <w:spacing w:after="0" w:line="240" w:lineRule="auto"/>
              <w:rPr>
                <w:rFonts w:ascii="Calibri" w:eastAsia="Times New Roman" w:hAnsi="Calibri" w:cs="Times New Roman"/>
                <w:color w:val="000000"/>
                <w:sz w:val="20"/>
                <w:szCs w:val="20"/>
                <w:lang w:eastAsia="it-IT"/>
              </w:rPr>
            </w:pPr>
            <w:r w:rsidRPr="00713E3D">
              <w:rPr>
                <w:rFonts w:ascii="Calibri" w:eastAsia="Times New Roman" w:hAnsi="Calibri" w:cs="Times New Roman"/>
                <w:color w:val="000000"/>
                <w:sz w:val="20"/>
                <w:szCs w:val="20"/>
                <w:lang w:eastAsia="it-IT"/>
              </w:rPr>
              <w:t>Umbria</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49,72%</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51,04%</w:t>
            </w:r>
          </w:p>
        </w:tc>
      </w:tr>
      <w:tr w:rsidR="00713E3D" w:rsidRPr="00713E3D" w:rsidTr="005E32C9">
        <w:trPr>
          <w:trHeight w:val="300"/>
          <w:jc w:val="center"/>
        </w:trPr>
        <w:tc>
          <w:tcPr>
            <w:tcW w:w="1974" w:type="dxa"/>
            <w:tcBorders>
              <w:top w:val="nil"/>
              <w:left w:val="nil"/>
              <w:bottom w:val="nil"/>
              <w:right w:val="nil"/>
            </w:tcBorders>
            <w:shd w:val="clear" w:color="auto" w:fill="auto"/>
            <w:noWrap/>
            <w:vAlign w:val="bottom"/>
            <w:hideMark/>
          </w:tcPr>
          <w:p w:rsidR="00713E3D" w:rsidRPr="00713E3D" w:rsidRDefault="00713E3D" w:rsidP="00713E3D">
            <w:pPr>
              <w:spacing w:after="0" w:line="240" w:lineRule="auto"/>
              <w:rPr>
                <w:rFonts w:ascii="Calibri" w:eastAsia="Times New Roman" w:hAnsi="Calibri" w:cs="Times New Roman"/>
                <w:color w:val="000000"/>
                <w:sz w:val="20"/>
                <w:szCs w:val="20"/>
                <w:lang w:eastAsia="it-IT"/>
              </w:rPr>
            </w:pPr>
            <w:r w:rsidRPr="00713E3D">
              <w:rPr>
                <w:rFonts w:ascii="Calibri" w:eastAsia="Times New Roman" w:hAnsi="Calibri" w:cs="Times New Roman"/>
                <w:color w:val="000000"/>
                <w:sz w:val="20"/>
                <w:szCs w:val="20"/>
                <w:lang w:eastAsia="it-IT"/>
              </w:rPr>
              <w:t>Marche</w:t>
            </w:r>
          </w:p>
        </w:tc>
        <w:tc>
          <w:tcPr>
            <w:tcW w:w="960" w:type="dxa"/>
            <w:tcBorders>
              <w:top w:val="nil"/>
              <w:left w:val="nil"/>
              <w:bottom w:val="nil"/>
              <w:right w:val="nil"/>
            </w:tcBorders>
            <w:shd w:val="clear" w:color="000000" w:fill="DBE5F1"/>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54,31%</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63,37%</w:t>
            </w:r>
          </w:p>
        </w:tc>
      </w:tr>
      <w:tr w:rsidR="00713E3D" w:rsidRPr="00713E3D" w:rsidTr="005E32C9">
        <w:trPr>
          <w:trHeight w:val="300"/>
          <w:jc w:val="center"/>
        </w:trPr>
        <w:tc>
          <w:tcPr>
            <w:tcW w:w="1974" w:type="dxa"/>
            <w:tcBorders>
              <w:top w:val="nil"/>
              <w:left w:val="nil"/>
              <w:bottom w:val="nil"/>
              <w:right w:val="nil"/>
            </w:tcBorders>
            <w:shd w:val="clear" w:color="auto" w:fill="auto"/>
            <w:noWrap/>
            <w:vAlign w:val="bottom"/>
            <w:hideMark/>
          </w:tcPr>
          <w:p w:rsidR="00713E3D" w:rsidRPr="00713E3D" w:rsidRDefault="00713E3D" w:rsidP="00713E3D">
            <w:pPr>
              <w:spacing w:after="0" w:line="240" w:lineRule="auto"/>
              <w:rPr>
                <w:rFonts w:ascii="Calibri" w:eastAsia="Times New Roman" w:hAnsi="Calibri" w:cs="Times New Roman"/>
                <w:color w:val="000000"/>
                <w:sz w:val="20"/>
                <w:szCs w:val="20"/>
                <w:lang w:eastAsia="it-IT"/>
              </w:rPr>
            </w:pPr>
            <w:r w:rsidRPr="00713E3D">
              <w:rPr>
                <w:rFonts w:ascii="Calibri" w:eastAsia="Times New Roman" w:hAnsi="Calibri" w:cs="Times New Roman"/>
                <w:color w:val="000000"/>
                <w:sz w:val="20"/>
                <w:szCs w:val="20"/>
                <w:lang w:eastAsia="it-IT"/>
              </w:rPr>
              <w:t>Lazio</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31,19%</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32,48%</w:t>
            </w:r>
          </w:p>
        </w:tc>
      </w:tr>
      <w:tr w:rsidR="00713E3D" w:rsidRPr="00713E3D" w:rsidTr="005E32C9">
        <w:trPr>
          <w:trHeight w:val="300"/>
          <w:jc w:val="center"/>
        </w:trPr>
        <w:tc>
          <w:tcPr>
            <w:tcW w:w="1974" w:type="dxa"/>
            <w:tcBorders>
              <w:top w:val="nil"/>
              <w:left w:val="nil"/>
              <w:bottom w:val="nil"/>
              <w:right w:val="nil"/>
            </w:tcBorders>
            <w:shd w:val="clear" w:color="auto" w:fill="auto"/>
            <w:noWrap/>
            <w:vAlign w:val="bottom"/>
            <w:hideMark/>
          </w:tcPr>
          <w:p w:rsidR="00713E3D" w:rsidRPr="00713E3D" w:rsidRDefault="00713E3D" w:rsidP="00713E3D">
            <w:pPr>
              <w:spacing w:after="0" w:line="240" w:lineRule="auto"/>
              <w:rPr>
                <w:rFonts w:ascii="Calibri" w:eastAsia="Times New Roman" w:hAnsi="Calibri" w:cs="Times New Roman"/>
                <w:color w:val="000000"/>
                <w:sz w:val="20"/>
                <w:szCs w:val="20"/>
                <w:lang w:eastAsia="it-IT"/>
              </w:rPr>
            </w:pPr>
            <w:r w:rsidRPr="00713E3D">
              <w:rPr>
                <w:rFonts w:ascii="Calibri" w:eastAsia="Times New Roman" w:hAnsi="Calibri" w:cs="Times New Roman"/>
                <w:color w:val="000000"/>
                <w:sz w:val="20"/>
                <w:szCs w:val="20"/>
                <w:lang w:eastAsia="it-IT"/>
              </w:rPr>
              <w:t>Abruzzo</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40,78%</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45,57%</w:t>
            </w:r>
          </w:p>
        </w:tc>
      </w:tr>
      <w:tr w:rsidR="00713E3D" w:rsidRPr="00713E3D" w:rsidTr="005E32C9">
        <w:trPr>
          <w:trHeight w:val="300"/>
          <w:jc w:val="center"/>
        </w:trPr>
        <w:tc>
          <w:tcPr>
            <w:tcW w:w="1974" w:type="dxa"/>
            <w:tcBorders>
              <w:top w:val="nil"/>
              <w:left w:val="nil"/>
              <w:bottom w:val="nil"/>
              <w:right w:val="nil"/>
            </w:tcBorders>
            <w:shd w:val="clear" w:color="auto" w:fill="auto"/>
            <w:noWrap/>
            <w:vAlign w:val="bottom"/>
            <w:hideMark/>
          </w:tcPr>
          <w:p w:rsidR="00713E3D" w:rsidRPr="00713E3D" w:rsidRDefault="00713E3D" w:rsidP="00713E3D">
            <w:pPr>
              <w:spacing w:after="0" w:line="240" w:lineRule="auto"/>
              <w:rPr>
                <w:rFonts w:ascii="Calibri" w:eastAsia="Times New Roman" w:hAnsi="Calibri" w:cs="Times New Roman"/>
                <w:color w:val="000000"/>
                <w:sz w:val="20"/>
                <w:szCs w:val="20"/>
                <w:lang w:eastAsia="it-IT"/>
              </w:rPr>
            </w:pPr>
            <w:r w:rsidRPr="00713E3D">
              <w:rPr>
                <w:rFonts w:ascii="Calibri" w:eastAsia="Times New Roman" w:hAnsi="Calibri" w:cs="Times New Roman"/>
                <w:color w:val="000000"/>
                <w:sz w:val="20"/>
                <w:szCs w:val="20"/>
                <w:lang w:eastAsia="it-IT"/>
              </w:rPr>
              <w:t>Molise</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28,60%</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28,71%</w:t>
            </w:r>
          </w:p>
        </w:tc>
      </w:tr>
      <w:tr w:rsidR="00713E3D" w:rsidRPr="00713E3D" w:rsidTr="005E32C9">
        <w:trPr>
          <w:trHeight w:val="300"/>
          <w:jc w:val="center"/>
        </w:trPr>
        <w:tc>
          <w:tcPr>
            <w:tcW w:w="1974" w:type="dxa"/>
            <w:tcBorders>
              <w:top w:val="nil"/>
              <w:left w:val="nil"/>
              <w:bottom w:val="nil"/>
              <w:right w:val="nil"/>
            </w:tcBorders>
            <w:shd w:val="clear" w:color="auto" w:fill="auto"/>
            <w:noWrap/>
            <w:vAlign w:val="bottom"/>
            <w:hideMark/>
          </w:tcPr>
          <w:p w:rsidR="00713E3D" w:rsidRPr="00713E3D" w:rsidRDefault="00713E3D" w:rsidP="00713E3D">
            <w:pPr>
              <w:spacing w:after="0" w:line="240" w:lineRule="auto"/>
              <w:rPr>
                <w:rFonts w:ascii="Calibri" w:eastAsia="Times New Roman" w:hAnsi="Calibri" w:cs="Times New Roman"/>
                <w:color w:val="000000"/>
                <w:sz w:val="20"/>
                <w:szCs w:val="20"/>
                <w:lang w:eastAsia="it-IT"/>
              </w:rPr>
            </w:pPr>
            <w:r w:rsidRPr="00713E3D">
              <w:rPr>
                <w:rFonts w:ascii="Calibri" w:eastAsia="Times New Roman" w:hAnsi="Calibri" w:cs="Times New Roman"/>
                <w:color w:val="000000"/>
                <w:sz w:val="20"/>
                <w:szCs w:val="20"/>
                <w:lang w:eastAsia="it-IT"/>
              </w:rPr>
              <w:t>Campania</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39,17%</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43,36%</w:t>
            </w:r>
          </w:p>
        </w:tc>
      </w:tr>
      <w:tr w:rsidR="00713E3D" w:rsidRPr="00713E3D" w:rsidTr="005E32C9">
        <w:trPr>
          <w:trHeight w:val="300"/>
          <w:jc w:val="center"/>
        </w:trPr>
        <w:tc>
          <w:tcPr>
            <w:tcW w:w="1974" w:type="dxa"/>
            <w:tcBorders>
              <w:top w:val="nil"/>
              <w:left w:val="nil"/>
              <w:bottom w:val="nil"/>
              <w:right w:val="nil"/>
            </w:tcBorders>
            <w:shd w:val="clear" w:color="auto" w:fill="auto"/>
            <w:noWrap/>
            <w:vAlign w:val="bottom"/>
            <w:hideMark/>
          </w:tcPr>
          <w:p w:rsidR="00713E3D" w:rsidRPr="00713E3D" w:rsidRDefault="00713E3D" w:rsidP="00713E3D">
            <w:pPr>
              <w:spacing w:after="0" w:line="240" w:lineRule="auto"/>
              <w:rPr>
                <w:rFonts w:ascii="Calibri" w:eastAsia="Times New Roman" w:hAnsi="Calibri" w:cs="Times New Roman"/>
                <w:color w:val="000000"/>
                <w:sz w:val="20"/>
                <w:szCs w:val="20"/>
                <w:lang w:eastAsia="it-IT"/>
              </w:rPr>
            </w:pPr>
            <w:r w:rsidRPr="00713E3D">
              <w:rPr>
                <w:rFonts w:ascii="Calibri" w:eastAsia="Times New Roman" w:hAnsi="Calibri" w:cs="Times New Roman"/>
                <w:color w:val="000000"/>
                <w:sz w:val="20"/>
                <w:szCs w:val="20"/>
                <w:lang w:eastAsia="it-IT"/>
              </w:rPr>
              <w:t>Puglia</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26,04%</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26,10%</w:t>
            </w:r>
          </w:p>
        </w:tc>
      </w:tr>
      <w:tr w:rsidR="00713E3D" w:rsidRPr="00713E3D" w:rsidTr="005E32C9">
        <w:trPr>
          <w:trHeight w:val="300"/>
          <w:jc w:val="center"/>
        </w:trPr>
        <w:tc>
          <w:tcPr>
            <w:tcW w:w="1974" w:type="dxa"/>
            <w:tcBorders>
              <w:top w:val="nil"/>
              <w:left w:val="nil"/>
              <w:bottom w:val="nil"/>
              <w:right w:val="nil"/>
            </w:tcBorders>
            <w:shd w:val="clear" w:color="auto" w:fill="auto"/>
            <w:noWrap/>
            <w:vAlign w:val="bottom"/>
            <w:hideMark/>
          </w:tcPr>
          <w:p w:rsidR="00713E3D" w:rsidRPr="00713E3D" w:rsidRDefault="00713E3D" w:rsidP="00713E3D">
            <w:pPr>
              <w:spacing w:after="0" w:line="240" w:lineRule="auto"/>
              <w:rPr>
                <w:rFonts w:ascii="Calibri" w:eastAsia="Times New Roman" w:hAnsi="Calibri" w:cs="Times New Roman"/>
                <w:color w:val="000000"/>
                <w:sz w:val="20"/>
                <w:szCs w:val="20"/>
                <w:lang w:eastAsia="it-IT"/>
              </w:rPr>
            </w:pPr>
            <w:r w:rsidRPr="00713E3D">
              <w:rPr>
                <w:rFonts w:ascii="Calibri" w:eastAsia="Times New Roman" w:hAnsi="Calibri" w:cs="Times New Roman"/>
                <w:color w:val="000000"/>
                <w:sz w:val="20"/>
                <w:szCs w:val="20"/>
                <w:lang w:eastAsia="it-IT"/>
              </w:rPr>
              <w:lastRenderedPageBreak/>
              <w:t>Basilicata</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21,35%</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34,51%</w:t>
            </w:r>
          </w:p>
        </w:tc>
      </w:tr>
      <w:tr w:rsidR="00713E3D" w:rsidRPr="00713E3D" w:rsidTr="005E32C9">
        <w:trPr>
          <w:trHeight w:val="300"/>
          <w:jc w:val="center"/>
        </w:trPr>
        <w:tc>
          <w:tcPr>
            <w:tcW w:w="1974" w:type="dxa"/>
            <w:tcBorders>
              <w:top w:val="nil"/>
              <w:left w:val="nil"/>
              <w:bottom w:val="nil"/>
              <w:right w:val="nil"/>
            </w:tcBorders>
            <w:shd w:val="clear" w:color="auto" w:fill="auto"/>
            <w:noWrap/>
            <w:vAlign w:val="bottom"/>
            <w:hideMark/>
          </w:tcPr>
          <w:p w:rsidR="00713E3D" w:rsidRPr="00713E3D" w:rsidRDefault="00713E3D" w:rsidP="00713E3D">
            <w:pPr>
              <w:spacing w:after="0" w:line="240" w:lineRule="auto"/>
              <w:rPr>
                <w:rFonts w:ascii="Calibri" w:eastAsia="Times New Roman" w:hAnsi="Calibri" w:cs="Times New Roman"/>
                <w:color w:val="000000"/>
                <w:sz w:val="20"/>
                <w:szCs w:val="20"/>
                <w:lang w:eastAsia="it-IT"/>
              </w:rPr>
            </w:pPr>
            <w:r w:rsidRPr="00713E3D">
              <w:rPr>
                <w:rFonts w:ascii="Calibri" w:eastAsia="Times New Roman" w:hAnsi="Calibri" w:cs="Times New Roman"/>
                <w:color w:val="000000"/>
                <w:sz w:val="20"/>
                <w:szCs w:val="20"/>
                <w:lang w:eastAsia="it-IT"/>
              </w:rPr>
              <w:t>Calabria</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18,41%</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19,59%</w:t>
            </w:r>
          </w:p>
        </w:tc>
      </w:tr>
      <w:tr w:rsidR="00713E3D" w:rsidRPr="00713E3D" w:rsidTr="005E32C9">
        <w:trPr>
          <w:trHeight w:val="300"/>
          <w:jc w:val="center"/>
        </w:trPr>
        <w:tc>
          <w:tcPr>
            <w:tcW w:w="1974" w:type="dxa"/>
            <w:tcBorders>
              <w:top w:val="nil"/>
              <w:left w:val="nil"/>
              <w:bottom w:val="nil"/>
              <w:right w:val="nil"/>
            </w:tcBorders>
            <w:shd w:val="clear" w:color="auto" w:fill="auto"/>
            <w:noWrap/>
            <w:vAlign w:val="bottom"/>
            <w:hideMark/>
          </w:tcPr>
          <w:p w:rsidR="00713E3D" w:rsidRPr="00713E3D" w:rsidRDefault="00713E3D" w:rsidP="00713E3D">
            <w:pPr>
              <w:spacing w:after="0" w:line="240" w:lineRule="auto"/>
              <w:rPr>
                <w:rFonts w:ascii="Calibri" w:eastAsia="Times New Roman" w:hAnsi="Calibri" w:cs="Times New Roman"/>
                <w:color w:val="000000"/>
                <w:sz w:val="20"/>
                <w:szCs w:val="20"/>
                <w:lang w:eastAsia="it-IT"/>
              </w:rPr>
            </w:pPr>
            <w:r w:rsidRPr="00713E3D">
              <w:rPr>
                <w:rFonts w:ascii="Calibri" w:eastAsia="Times New Roman" w:hAnsi="Calibri" w:cs="Times New Roman"/>
                <w:color w:val="000000"/>
                <w:sz w:val="20"/>
                <w:szCs w:val="20"/>
                <w:lang w:eastAsia="it-IT"/>
              </w:rPr>
              <w:t>Sicilia</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11,83%</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12,26%</w:t>
            </w:r>
          </w:p>
        </w:tc>
      </w:tr>
      <w:tr w:rsidR="00713E3D" w:rsidRPr="00713E3D" w:rsidTr="005E32C9">
        <w:trPr>
          <w:trHeight w:val="300"/>
          <w:jc w:val="center"/>
        </w:trPr>
        <w:tc>
          <w:tcPr>
            <w:tcW w:w="1974" w:type="dxa"/>
            <w:tcBorders>
              <w:top w:val="nil"/>
              <w:left w:val="nil"/>
              <w:bottom w:val="nil"/>
              <w:right w:val="nil"/>
            </w:tcBorders>
            <w:shd w:val="clear" w:color="auto" w:fill="auto"/>
            <w:noWrap/>
            <w:vAlign w:val="bottom"/>
            <w:hideMark/>
          </w:tcPr>
          <w:p w:rsidR="00713E3D" w:rsidRPr="00713E3D" w:rsidRDefault="00713E3D" w:rsidP="00713E3D">
            <w:pPr>
              <w:spacing w:after="0" w:line="240" w:lineRule="auto"/>
              <w:rPr>
                <w:rFonts w:ascii="Calibri" w:eastAsia="Times New Roman" w:hAnsi="Calibri" w:cs="Times New Roman"/>
                <w:color w:val="000000"/>
                <w:sz w:val="20"/>
                <w:szCs w:val="20"/>
                <w:lang w:eastAsia="it-IT"/>
              </w:rPr>
            </w:pPr>
            <w:r w:rsidRPr="00713E3D">
              <w:rPr>
                <w:rFonts w:ascii="Calibri" w:eastAsia="Times New Roman" w:hAnsi="Calibri" w:cs="Times New Roman"/>
                <w:color w:val="000000"/>
                <w:sz w:val="20"/>
                <w:szCs w:val="20"/>
                <w:lang w:eastAsia="it-IT"/>
              </w:rPr>
              <w:t>Sardegna</w:t>
            </w:r>
          </w:p>
        </w:tc>
        <w:tc>
          <w:tcPr>
            <w:tcW w:w="960" w:type="dxa"/>
            <w:tcBorders>
              <w:top w:val="nil"/>
              <w:left w:val="nil"/>
              <w:bottom w:val="nil"/>
              <w:right w:val="nil"/>
            </w:tcBorders>
            <w:shd w:val="clear" w:color="000000" w:fill="DBE5F1"/>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52,40%</w:t>
            </w:r>
          </w:p>
        </w:tc>
        <w:tc>
          <w:tcPr>
            <w:tcW w:w="960" w:type="dxa"/>
            <w:tcBorders>
              <w:top w:val="nil"/>
              <w:left w:val="nil"/>
              <w:bottom w:val="nil"/>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color w:val="000000"/>
                <w:sz w:val="20"/>
                <w:szCs w:val="20"/>
              </w:rPr>
            </w:pPr>
            <w:r w:rsidRPr="00713E3D">
              <w:rPr>
                <w:rFonts w:ascii="Calibri" w:eastAsia="Calibri" w:hAnsi="Calibri" w:cs="Calibri"/>
                <w:color w:val="000000"/>
                <w:sz w:val="20"/>
                <w:szCs w:val="20"/>
              </w:rPr>
              <w:t>55,49%</w:t>
            </w:r>
          </w:p>
        </w:tc>
      </w:tr>
      <w:tr w:rsidR="00713E3D" w:rsidRPr="00713E3D" w:rsidTr="005E32C9">
        <w:trPr>
          <w:trHeight w:val="300"/>
          <w:jc w:val="center"/>
        </w:trPr>
        <w:tc>
          <w:tcPr>
            <w:tcW w:w="1974" w:type="dxa"/>
            <w:tcBorders>
              <w:top w:val="nil"/>
              <w:left w:val="nil"/>
              <w:bottom w:val="single" w:sz="4" w:space="0" w:color="auto"/>
              <w:right w:val="nil"/>
            </w:tcBorders>
            <w:shd w:val="clear" w:color="auto" w:fill="auto"/>
            <w:noWrap/>
            <w:vAlign w:val="bottom"/>
            <w:hideMark/>
          </w:tcPr>
          <w:p w:rsidR="00713E3D" w:rsidRPr="00713E3D" w:rsidRDefault="00713E3D" w:rsidP="00713E3D">
            <w:pPr>
              <w:spacing w:after="0" w:line="240" w:lineRule="auto"/>
              <w:rPr>
                <w:rFonts w:ascii="Calibri" w:eastAsia="Times New Roman" w:hAnsi="Calibri" w:cs="Times New Roman"/>
                <w:b/>
                <w:bCs/>
                <w:color w:val="000000"/>
                <w:sz w:val="20"/>
                <w:szCs w:val="20"/>
                <w:lang w:eastAsia="it-IT"/>
              </w:rPr>
            </w:pPr>
            <w:r w:rsidRPr="00713E3D">
              <w:rPr>
                <w:rFonts w:ascii="Calibri" w:eastAsia="Times New Roman" w:hAnsi="Calibri" w:cs="Times New Roman"/>
                <w:b/>
                <w:bCs/>
                <w:color w:val="000000"/>
                <w:sz w:val="20"/>
                <w:szCs w:val="20"/>
                <w:lang w:eastAsia="it-IT"/>
              </w:rPr>
              <w:t>Italia</w:t>
            </w:r>
          </w:p>
        </w:tc>
        <w:tc>
          <w:tcPr>
            <w:tcW w:w="960" w:type="dxa"/>
            <w:tcBorders>
              <w:top w:val="nil"/>
              <w:left w:val="nil"/>
              <w:bottom w:val="single" w:sz="4" w:space="0" w:color="auto"/>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b/>
                <w:bCs/>
                <w:color w:val="000000"/>
                <w:sz w:val="20"/>
                <w:szCs w:val="20"/>
              </w:rPr>
            </w:pPr>
            <w:r w:rsidRPr="00713E3D">
              <w:rPr>
                <w:rFonts w:ascii="Calibri" w:eastAsia="Calibri" w:hAnsi="Calibri" w:cs="Calibri"/>
                <w:b/>
                <w:bCs/>
                <w:color w:val="000000"/>
                <w:sz w:val="20"/>
                <w:szCs w:val="20"/>
              </w:rPr>
              <w:t>44,22%</w:t>
            </w:r>
          </w:p>
        </w:tc>
        <w:tc>
          <w:tcPr>
            <w:tcW w:w="960" w:type="dxa"/>
            <w:tcBorders>
              <w:top w:val="nil"/>
              <w:left w:val="nil"/>
              <w:bottom w:val="single" w:sz="4" w:space="0" w:color="auto"/>
              <w:right w:val="nil"/>
            </w:tcBorders>
            <w:shd w:val="clear" w:color="auto" w:fill="auto"/>
            <w:noWrap/>
            <w:hideMark/>
          </w:tcPr>
          <w:p w:rsidR="00713E3D" w:rsidRPr="00713E3D" w:rsidRDefault="00713E3D" w:rsidP="00713E3D">
            <w:pPr>
              <w:autoSpaceDE w:val="0"/>
              <w:autoSpaceDN w:val="0"/>
              <w:adjustRightInd w:val="0"/>
              <w:spacing w:after="0" w:line="240" w:lineRule="auto"/>
              <w:jc w:val="right"/>
              <w:rPr>
                <w:rFonts w:ascii="Calibri" w:eastAsia="Calibri" w:hAnsi="Calibri" w:cs="Calibri"/>
                <w:b/>
                <w:bCs/>
                <w:color w:val="000000"/>
                <w:sz w:val="20"/>
                <w:szCs w:val="20"/>
              </w:rPr>
            </w:pPr>
            <w:r w:rsidRPr="00713E3D">
              <w:rPr>
                <w:rFonts w:ascii="Calibri" w:eastAsia="Calibri" w:hAnsi="Calibri" w:cs="Calibri"/>
                <w:b/>
                <w:bCs/>
                <w:color w:val="000000"/>
                <w:sz w:val="20"/>
                <w:szCs w:val="20"/>
              </w:rPr>
              <w:t>45,98%</w:t>
            </w:r>
          </w:p>
        </w:tc>
      </w:tr>
    </w:tbl>
    <w:p w:rsidR="00F50D1E" w:rsidRDefault="00F50D1E" w:rsidP="00E84DCF">
      <w:pPr>
        <w:spacing w:after="200" w:line="276" w:lineRule="auto"/>
        <w:jc w:val="both"/>
        <w:rPr>
          <w:rFonts w:ascii="Calibri" w:eastAsia="Calibri" w:hAnsi="Calibri" w:cs="Times New Roman"/>
        </w:rPr>
      </w:pPr>
    </w:p>
    <w:p w:rsidR="00E84DCF" w:rsidRPr="00791C98" w:rsidRDefault="00E84DCF" w:rsidP="00E84DCF">
      <w:pPr>
        <w:spacing w:after="200" w:line="276" w:lineRule="auto"/>
        <w:jc w:val="both"/>
        <w:rPr>
          <w:rFonts w:ascii="Calibri" w:eastAsia="Calibri" w:hAnsi="Calibri" w:cs="Times New Roman"/>
          <w:b/>
          <w:u w:val="single"/>
        </w:rPr>
      </w:pPr>
      <w:r w:rsidRPr="00791C98">
        <w:rPr>
          <w:rFonts w:ascii="Calibri" w:eastAsia="Calibri" w:hAnsi="Calibri" w:cs="Times New Roman"/>
          <w:b/>
          <w:u w:val="single"/>
        </w:rPr>
        <w:t xml:space="preserve">Rispetto alla scadenza del 2020 fissata dall’Europa </w:t>
      </w:r>
      <w:r w:rsidR="00AC5D3B" w:rsidRPr="00791C98">
        <w:rPr>
          <w:rFonts w:ascii="Calibri" w:eastAsia="Calibri" w:hAnsi="Calibri" w:cs="Times New Roman"/>
          <w:b/>
          <w:u w:val="single"/>
        </w:rPr>
        <w:t xml:space="preserve">nella direttiva </w:t>
      </w:r>
      <w:r w:rsidR="00DE04F1" w:rsidRPr="00791C98">
        <w:rPr>
          <w:rFonts w:ascii="Calibri" w:eastAsia="Calibri" w:hAnsi="Calibri" w:cs="Times New Roman"/>
          <w:b/>
          <w:u w:val="single"/>
        </w:rPr>
        <w:t>98/08</w:t>
      </w:r>
      <w:r w:rsidR="00AC5D3B" w:rsidRPr="00791C98">
        <w:rPr>
          <w:rFonts w:ascii="Calibri" w:eastAsia="Calibri" w:hAnsi="Calibri" w:cs="Times New Roman"/>
          <w:b/>
          <w:u w:val="single"/>
        </w:rPr>
        <w:t> </w:t>
      </w:r>
      <w:r w:rsidRPr="00791C98">
        <w:rPr>
          <w:rFonts w:ascii="Calibri" w:eastAsia="Calibri" w:hAnsi="Calibri" w:cs="Times New Roman"/>
          <w:b/>
          <w:u w:val="single"/>
        </w:rPr>
        <w:t xml:space="preserve">per superare il 50% di </w:t>
      </w:r>
      <w:r w:rsidR="00183F3F" w:rsidRPr="00791C98">
        <w:rPr>
          <w:rFonts w:ascii="Calibri" w:eastAsia="Calibri" w:hAnsi="Calibri" w:cs="Times New Roman"/>
          <w:b/>
          <w:u w:val="single"/>
        </w:rPr>
        <w:t xml:space="preserve">avvio a </w:t>
      </w:r>
      <w:r w:rsidRPr="00791C98">
        <w:rPr>
          <w:rFonts w:ascii="Calibri" w:eastAsia="Calibri" w:hAnsi="Calibri" w:cs="Times New Roman"/>
          <w:b/>
          <w:u w:val="single"/>
        </w:rPr>
        <w:t xml:space="preserve">riciclo, hanno già raggiunto </w:t>
      </w:r>
      <w:r w:rsidR="00AC5D3B" w:rsidRPr="00791C98">
        <w:rPr>
          <w:rFonts w:ascii="Calibri" w:eastAsia="Calibri" w:hAnsi="Calibri" w:cs="Times New Roman"/>
          <w:b/>
          <w:u w:val="single"/>
        </w:rPr>
        <w:t>questo risultato</w:t>
      </w:r>
      <w:r w:rsidRPr="00791C98">
        <w:rPr>
          <w:rFonts w:ascii="Calibri" w:eastAsia="Calibri" w:hAnsi="Calibri" w:cs="Times New Roman"/>
          <w:b/>
          <w:u w:val="single"/>
        </w:rPr>
        <w:t xml:space="preserve"> </w:t>
      </w:r>
      <w:r w:rsidR="00DE04F1" w:rsidRPr="00791C98">
        <w:rPr>
          <w:rFonts w:ascii="Calibri" w:eastAsia="Calibri" w:hAnsi="Calibri" w:cs="Times New Roman"/>
          <w:b/>
          <w:u w:val="single"/>
        </w:rPr>
        <w:t xml:space="preserve">ben </w:t>
      </w:r>
      <w:r w:rsidRPr="00791C98">
        <w:rPr>
          <w:rFonts w:ascii="Calibri" w:eastAsia="Calibri" w:hAnsi="Calibri" w:cs="Times New Roman"/>
          <w:b/>
          <w:u w:val="single"/>
        </w:rPr>
        <w:t xml:space="preserve">8 Regioni Italiane (una in più dello scorso anno) con 6 anni di anticipo: </w:t>
      </w:r>
      <w:r w:rsidR="00AC5D3B" w:rsidRPr="00791C98">
        <w:rPr>
          <w:rFonts w:ascii="Calibri" w:eastAsia="Calibri" w:hAnsi="Calibri" w:cs="Times New Roman"/>
          <w:b/>
          <w:u w:val="single"/>
        </w:rPr>
        <w:t>Piemonte, Lombardia, Trentino- Alto Adige, Veneto, Friuli-Venezia Giulia, Emilia-Romagna, Marche e Sardegna.</w:t>
      </w:r>
      <w:r w:rsidRPr="00791C98">
        <w:rPr>
          <w:rFonts w:ascii="Calibri" w:eastAsia="Calibri" w:hAnsi="Calibri" w:cs="Times New Roman"/>
          <w:b/>
          <w:u w:val="single"/>
        </w:rPr>
        <w:t xml:space="preserve">  </w:t>
      </w:r>
      <w:r w:rsidR="00AC5D3B" w:rsidRPr="00791C98">
        <w:rPr>
          <w:rFonts w:ascii="Calibri" w:eastAsia="Calibri" w:hAnsi="Calibri" w:cs="Times New Roman"/>
          <w:b/>
          <w:u w:val="single"/>
        </w:rPr>
        <w:t xml:space="preserve">Valle D’Aosta, Toscana, Umbria, Abruzzo e Campania </w:t>
      </w:r>
      <w:r w:rsidR="00DE04F1" w:rsidRPr="00791C98">
        <w:rPr>
          <w:rFonts w:ascii="Calibri" w:eastAsia="Calibri" w:hAnsi="Calibri" w:cs="Times New Roman"/>
          <w:b/>
          <w:u w:val="single"/>
        </w:rPr>
        <w:t xml:space="preserve">sono invece </w:t>
      </w:r>
      <w:r w:rsidR="00914996" w:rsidRPr="00791C98">
        <w:rPr>
          <w:rFonts w:ascii="Calibri" w:eastAsia="Calibri" w:hAnsi="Calibri" w:cs="Times New Roman"/>
          <w:b/>
          <w:u w:val="single"/>
        </w:rPr>
        <w:t xml:space="preserve">vicine al </w:t>
      </w:r>
      <w:r w:rsidR="00DE04F1" w:rsidRPr="00791C98">
        <w:rPr>
          <w:rFonts w:ascii="Calibri" w:eastAsia="Calibri" w:hAnsi="Calibri" w:cs="Times New Roman"/>
          <w:b/>
          <w:u w:val="single"/>
        </w:rPr>
        <w:t xml:space="preserve"> raggiungimento dell’obiettivo.</w:t>
      </w:r>
    </w:p>
    <w:p w:rsidR="00AC5D3B" w:rsidRPr="00AC5D3B" w:rsidRDefault="00AC5D3B" w:rsidP="00AC5D3B">
      <w:pPr>
        <w:spacing w:after="200" w:line="276" w:lineRule="auto"/>
        <w:jc w:val="both"/>
        <w:rPr>
          <w:rFonts w:ascii="Calibri" w:eastAsia="Calibri" w:hAnsi="Calibri" w:cs="Times New Roman"/>
        </w:rPr>
      </w:pPr>
      <w:r w:rsidRPr="00AC5D3B">
        <w:rPr>
          <w:rFonts w:ascii="Calibri" w:eastAsia="Calibri" w:hAnsi="Calibri" w:cs="Times New Roman"/>
        </w:rPr>
        <w:t>Nella cartografia</w:t>
      </w:r>
      <w:r w:rsidR="00DE04F1">
        <w:rPr>
          <w:rFonts w:ascii="Calibri" w:eastAsia="Calibri" w:hAnsi="Calibri" w:cs="Times New Roman"/>
        </w:rPr>
        <w:t xml:space="preserve"> riportata di seguito, si evidenzia</w:t>
      </w:r>
      <w:r w:rsidRPr="00AC5D3B">
        <w:rPr>
          <w:rFonts w:ascii="Calibri" w:eastAsia="Calibri" w:hAnsi="Calibri" w:cs="Times New Roman"/>
        </w:rPr>
        <w:t xml:space="preserve"> la situazione attuale delle regioni italiane rispetto all’obiettivo imposto dalla normativa per il raggiungimento del 50% di avvio a riciclo. </w:t>
      </w:r>
    </w:p>
    <w:p w:rsidR="00DE04F1" w:rsidRPr="00DE04F1" w:rsidRDefault="00AC5D3B" w:rsidP="00DE04F1">
      <w:pPr>
        <w:spacing w:after="200" w:line="276" w:lineRule="auto"/>
        <w:jc w:val="both"/>
        <w:rPr>
          <w:rFonts w:ascii="Calibri" w:eastAsia="Calibri" w:hAnsi="Calibri" w:cs="Times New Roman"/>
          <w:u w:val="single"/>
        </w:rPr>
      </w:pPr>
      <w:r w:rsidRPr="00AC5D3B">
        <w:rPr>
          <w:rFonts w:ascii="Calibri" w:eastAsia="Calibri" w:hAnsi="Calibri" w:cs="Times New Roman"/>
          <w:b/>
          <w:noProof/>
          <w:lang w:eastAsia="it-IT"/>
        </w:rPr>
        <w:drawing>
          <wp:inline distT="0" distB="0" distL="0" distR="0" wp14:anchorId="6B14AD5C" wp14:editId="134B9285">
            <wp:extent cx="4219375" cy="4029075"/>
            <wp:effectExtent l="0" t="0" r="0" b="0"/>
            <wp:docPr id="6" name="Immagine 11" descr="AR_Region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_Regioni.jpeg"/>
                    <pic:cNvPicPr/>
                  </pic:nvPicPr>
                  <pic:blipFill>
                    <a:blip r:embed="rId9" cstate="print"/>
                    <a:srcRect t="12321" b="20132"/>
                    <a:stretch>
                      <a:fillRect/>
                    </a:stretch>
                  </pic:blipFill>
                  <pic:spPr>
                    <a:xfrm>
                      <a:off x="0" y="0"/>
                      <a:ext cx="4248589" cy="4056971"/>
                    </a:xfrm>
                    <a:prstGeom prst="rect">
                      <a:avLst/>
                    </a:prstGeom>
                  </pic:spPr>
                </pic:pic>
              </a:graphicData>
            </a:graphic>
          </wp:inline>
        </w:drawing>
      </w:r>
      <w:r w:rsidR="00DE04F1" w:rsidRPr="00DE04F1">
        <w:t xml:space="preserve"> </w:t>
      </w:r>
      <w:r w:rsidR="00DE04F1" w:rsidRPr="00DE04F1">
        <w:rPr>
          <w:rFonts w:ascii="Calibri" w:eastAsia="Calibri" w:hAnsi="Calibri" w:cs="Times New Roman"/>
        </w:rPr>
        <w:t xml:space="preserve">Come si può vedere sono ancora molte le regioni che nei prossimi anni non centreranno l’obiettivo. </w:t>
      </w:r>
      <w:r w:rsidR="00DE04F1" w:rsidRPr="00DE04F1">
        <w:rPr>
          <w:rFonts w:ascii="Calibri" w:eastAsia="Calibri" w:hAnsi="Calibri" w:cs="Times New Roman"/>
          <w:u w:val="single"/>
        </w:rPr>
        <w:t xml:space="preserve">Un grande lavoro dovrà </w:t>
      </w:r>
      <w:r w:rsidR="00DE04F1">
        <w:rPr>
          <w:rFonts w:ascii="Calibri" w:eastAsia="Calibri" w:hAnsi="Calibri" w:cs="Times New Roman"/>
          <w:u w:val="single"/>
        </w:rPr>
        <w:t>essere fatto dalle regioni del S</w:t>
      </w:r>
      <w:r w:rsidR="00DE04F1" w:rsidRPr="00DE04F1">
        <w:rPr>
          <w:rFonts w:ascii="Calibri" w:eastAsia="Calibri" w:hAnsi="Calibri" w:cs="Times New Roman"/>
          <w:u w:val="single"/>
        </w:rPr>
        <w:t>ud Italia.</w:t>
      </w:r>
    </w:p>
    <w:p w:rsidR="006954F5" w:rsidRDefault="006954F5" w:rsidP="008D17E7">
      <w:pPr>
        <w:spacing w:after="200" w:line="276" w:lineRule="auto"/>
        <w:jc w:val="both"/>
        <w:rPr>
          <w:rFonts w:ascii="Calibri" w:eastAsia="Calibri" w:hAnsi="Calibri" w:cs="Times New Roman"/>
          <w:b/>
          <w:bCs/>
          <w:color w:val="FF0000"/>
          <w:sz w:val="24"/>
        </w:rPr>
      </w:pPr>
    </w:p>
    <w:p w:rsidR="00DB6CD6" w:rsidRDefault="00DB6CD6" w:rsidP="008D17E7">
      <w:pPr>
        <w:spacing w:after="200" w:line="276" w:lineRule="auto"/>
        <w:jc w:val="both"/>
        <w:rPr>
          <w:rFonts w:ascii="Calibri" w:eastAsia="Calibri" w:hAnsi="Calibri" w:cs="Times New Roman"/>
          <w:b/>
          <w:bCs/>
          <w:color w:val="FF0000"/>
          <w:sz w:val="24"/>
        </w:rPr>
      </w:pPr>
    </w:p>
    <w:p w:rsidR="00DB6CD6" w:rsidRDefault="00DB6CD6" w:rsidP="008D17E7">
      <w:pPr>
        <w:spacing w:after="200" w:line="276" w:lineRule="auto"/>
        <w:jc w:val="both"/>
        <w:rPr>
          <w:rFonts w:ascii="Calibri" w:eastAsia="Calibri" w:hAnsi="Calibri" w:cs="Times New Roman"/>
          <w:b/>
          <w:bCs/>
          <w:color w:val="FF0000"/>
          <w:sz w:val="24"/>
        </w:rPr>
      </w:pPr>
    </w:p>
    <w:p w:rsidR="008D17E7" w:rsidRPr="002A2A80" w:rsidRDefault="008D17E7" w:rsidP="002A2A80">
      <w:pPr>
        <w:pStyle w:val="Paragrafoelenco"/>
        <w:numPr>
          <w:ilvl w:val="0"/>
          <w:numId w:val="2"/>
        </w:numPr>
        <w:spacing w:after="200" w:line="276" w:lineRule="auto"/>
        <w:jc w:val="both"/>
        <w:rPr>
          <w:rFonts w:ascii="Calibri" w:eastAsia="Calibri" w:hAnsi="Calibri" w:cs="Times New Roman"/>
          <w:b/>
          <w:bCs/>
          <w:color w:val="FF0000"/>
          <w:sz w:val="24"/>
        </w:rPr>
      </w:pPr>
      <w:r w:rsidRPr="002A2A80">
        <w:rPr>
          <w:rFonts w:ascii="Calibri" w:eastAsia="Calibri" w:hAnsi="Calibri" w:cs="Times New Roman"/>
          <w:b/>
          <w:bCs/>
          <w:color w:val="FF0000"/>
          <w:sz w:val="24"/>
        </w:rPr>
        <w:lastRenderedPageBreak/>
        <w:t>Pe</w:t>
      </w:r>
      <w:r w:rsidR="00F4542D" w:rsidRPr="002A2A80">
        <w:rPr>
          <w:rFonts w:ascii="Calibri" w:eastAsia="Calibri" w:hAnsi="Calibri" w:cs="Times New Roman"/>
          <w:b/>
          <w:bCs/>
          <w:color w:val="FF0000"/>
          <w:sz w:val="24"/>
        </w:rPr>
        <w:t>rcentuale di avvio a riciclo</w:t>
      </w:r>
      <w:r w:rsidRPr="002A2A80">
        <w:rPr>
          <w:rFonts w:ascii="Calibri" w:eastAsia="Calibri" w:hAnsi="Calibri" w:cs="Times New Roman"/>
          <w:b/>
          <w:bCs/>
          <w:color w:val="FF0000"/>
          <w:sz w:val="24"/>
        </w:rPr>
        <w:t xml:space="preserve"> per Regione, anno 2014 </w:t>
      </w:r>
    </w:p>
    <w:p w:rsidR="00E84DCF" w:rsidRDefault="008D17E7" w:rsidP="00E84DCF">
      <w:pPr>
        <w:spacing w:after="200" w:line="276" w:lineRule="auto"/>
        <w:jc w:val="both"/>
        <w:rPr>
          <w:rFonts w:ascii="Calibri" w:eastAsia="Calibri" w:hAnsi="Calibri" w:cs="Times New Roman"/>
        </w:rPr>
      </w:pPr>
      <w:r w:rsidRPr="008D17E7">
        <w:rPr>
          <w:rFonts w:ascii="Calibri" w:eastAsia="Calibri" w:hAnsi="Calibri" w:cs="Times New Roman"/>
          <w:b/>
          <w:bCs/>
          <w:noProof/>
          <w:lang w:eastAsia="it-IT"/>
        </w:rPr>
        <w:drawing>
          <wp:inline distT="0" distB="0" distL="0" distR="0" wp14:anchorId="5A9C4D21" wp14:editId="3947D53D">
            <wp:extent cx="4562476" cy="310682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AvvioRicicl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59165" cy="3104565"/>
                    </a:xfrm>
                    <a:prstGeom prst="rect">
                      <a:avLst/>
                    </a:prstGeom>
                  </pic:spPr>
                </pic:pic>
              </a:graphicData>
            </a:graphic>
          </wp:inline>
        </w:drawing>
      </w:r>
    </w:p>
    <w:p w:rsidR="00713E3D" w:rsidRDefault="008D17E7">
      <w:pPr>
        <w:rPr>
          <w:rFonts w:ascii="Calibri" w:eastAsia="Calibri" w:hAnsi="Calibri" w:cs="Times New Roman"/>
        </w:rPr>
      </w:pPr>
      <w:r>
        <w:rPr>
          <w:rFonts w:ascii="Calibri" w:eastAsia="Calibri" w:hAnsi="Calibri" w:cs="Times New Roman"/>
        </w:rPr>
        <w:t xml:space="preserve">L’Umbria è a un passo dal traguardo, Sicilia, Calabria, Basilicata e Puglia sono ancora lontanissime. </w:t>
      </w:r>
    </w:p>
    <w:p w:rsidR="00183F3F" w:rsidRDefault="00183F3F">
      <w:pPr>
        <w:rPr>
          <w:rFonts w:ascii="Calibri" w:eastAsia="Calibri" w:hAnsi="Calibri" w:cs="Times New Roman"/>
          <w:b/>
          <w:bCs/>
          <w:color w:val="FF0000"/>
          <w:sz w:val="24"/>
        </w:rPr>
      </w:pPr>
    </w:p>
    <w:p w:rsidR="00183F3F" w:rsidRPr="00791C98" w:rsidRDefault="00183F3F" w:rsidP="00791C98">
      <w:pPr>
        <w:pStyle w:val="Paragrafoelenco"/>
        <w:numPr>
          <w:ilvl w:val="0"/>
          <w:numId w:val="2"/>
        </w:numPr>
        <w:rPr>
          <w:rFonts w:ascii="Calibri" w:eastAsia="Calibri" w:hAnsi="Calibri" w:cs="Times New Roman"/>
          <w:b/>
          <w:bCs/>
          <w:color w:val="FF0000"/>
          <w:sz w:val="24"/>
        </w:rPr>
      </w:pPr>
      <w:r w:rsidRPr="00791C98">
        <w:rPr>
          <w:rFonts w:ascii="Calibri" w:eastAsia="Calibri" w:hAnsi="Calibri" w:cs="Times New Roman"/>
          <w:b/>
          <w:bCs/>
          <w:color w:val="FF0000"/>
          <w:sz w:val="24"/>
        </w:rPr>
        <w:t>Confronto % Avvio a Riciclo e % Raccolta Differenziata, anni 2011 – 2014</w:t>
      </w:r>
    </w:p>
    <w:p w:rsidR="00183F3F" w:rsidRDefault="00183F3F">
      <w:pPr>
        <w:rPr>
          <w:b/>
          <w:color w:val="FF0000"/>
          <w:sz w:val="28"/>
        </w:rPr>
      </w:pPr>
      <w:r w:rsidRPr="00183F3F">
        <w:rPr>
          <w:rFonts w:ascii="Calibri" w:eastAsia="Calibri" w:hAnsi="Calibri" w:cs="Times New Roman"/>
          <w:b/>
          <w:bCs/>
          <w:noProof/>
          <w:lang w:eastAsia="it-IT"/>
        </w:rPr>
        <w:drawing>
          <wp:inline distT="0" distB="0" distL="0" distR="0" wp14:anchorId="0926B62C" wp14:editId="2D275D40">
            <wp:extent cx="4522858" cy="2688114"/>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ConfrontoAReRDann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22858" cy="2688114"/>
                    </a:xfrm>
                    <a:prstGeom prst="rect">
                      <a:avLst/>
                    </a:prstGeom>
                  </pic:spPr>
                </pic:pic>
              </a:graphicData>
            </a:graphic>
          </wp:inline>
        </w:drawing>
      </w:r>
    </w:p>
    <w:p w:rsidR="00183F3F" w:rsidRDefault="00183F3F" w:rsidP="00183F3F">
      <w:pPr>
        <w:spacing w:after="200" w:line="276" w:lineRule="auto"/>
        <w:jc w:val="both"/>
        <w:rPr>
          <w:rFonts w:ascii="Calibri" w:eastAsia="Calibri" w:hAnsi="Calibri" w:cs="Times New Roman"/>
          <w:bCs/>
        </w:rPr>
      </w:pPr>
    </w:p>
    <w:p w:rsidR="00183F3F" w:rsidRPr="00183F3F" w:rsidRDefault="00183F3F" w:rsidP="00183F3F">
      <w:pPr>
        <w:spacing w:after="200" w:line="276" w:lineRule="auto"/>
        <w:jc w:val="both"/>
        <w:rPr>
          <w:rFonts w:ascii="Calibri" w:eastAsia="Calibri" w:hAnsi="Calibri" w:cs="Times New Roman"/>
          <w:b/>
          <w:bCs/>
          <w:u w:val="single"/>
        </w:rPr>
      </w:pPr>
      <w:r w:rsidRPr="00183F3F">
        <w:rPr>
          <w:rFonts w:ascii="Calibri" w:eastAsia="Calibri" w:hAnsi="Calibri" w:cs="Times New Roman"/>
          <w:bCs/>
        </w:rPr>
        <w:t xml:space="preserve">Dal grafico si evince che </w:t>
      </w:r>
      <w:r w:rsidRPr="00183F3F">
        <w:rPr>
          <w:rFonts w:ascii="Calibri" w:eastAsia="Calibri" w:hAnsi="Calibri" w:cs="Times New Roman"/>
          <w:b/>
          <w:bCs/>
          <w:u w:val="single"/>
        </w:rPr>
        <w:t>la percentuale di raccolta differenziata cresce più velocemente rispetto a quella di avvio a riciclo.</w:t>
      </w:r>
      <w:r>
        <w:rPr>
          <w:rFonts w:ascii="Calibri" w:eastAsia="Calibri" w:hAnsi="Calibri" w:cs="Times New Roman"/>
          <w:b/>
          <w:bCs/>
          <w:u w:val="single"/>
        </w:rPr>
        <w:t xml:space="preserve"> </w:t>
      </w:r>
      <w:r w:rsidRPr="00183F3F">
        <w:rPr>
          <w:rFonts w:ascii="Calibri" w:eastAsia="Calibri" w:hAnsi="Calibri" w:cs="Times New Roman"/>
          <w:bCs/>
        </w:rPr>
        <w:t xml:space="preserve">Nell’ultimo anno si riscontra </w:t>
      </w:r>
      <w:r w:rsidRPr="00183F3F">
        <w:rPr>
          <w:rFonts w:ascii="Calibri" w:eastAsia="Calibri" w:hAnsi="Calibri" w:cs="Times New Roman"/>
          <w:b/>
          <w:bCs/>
          <w:u w:val="single"/>
        </w:rPr>
        <w:t>un +3,67 % per la raccolta differenziata e un +2,69 % per l’Avvio a Riciclo.</w:t>
      </w:r>
    </w:p>
    <w:p w:rsidR="00183F3F" w:rsidRDefault="00183F3F">
      <w:pPr>
        <w:rPr>
          <w:b/>
          <w:color w:val="FF0000"/>
          <w:sz w:val="28"/>
        </w:rPr>
      </w:pPr>
    </w:p>
    <w:p w:rsidR="002A2A80" w:rsidRDefault="002A2A80">
      <w:pPr>
        <w:rPr>
          <w:b/>
          <w:color w:val="FF0000"/>
          <w:sz w:val="28"/>
        </w:rPr>
      </w:pPr>
    </w:p>
    <w:p w:rsidR="00183F3F" w:rsidRPr="002A2A80" w:rsidRDefault="00183F3F" w:rsidP="00183F3F">
      <w:pPr>
        <w:pStyle w:val="Paragrafoelenco"/>
        <w:numPr>
          <w:ilvl w:val="0"/>
          <w:numId w:val="2"/>
        </w:numPr>
        <w:spacing w:after="200" w:line="276" w:lineRule="auto"/>
        <w:rPr>
          <w:rFonts w:ascii="Calibri" w:eastAsia="Calibri" w:hAnsi="Calibri" w:cs="Times New Roman"/>
          <w:b/>
          <w:bCs/>
          <w:color w:val="FF0000"/>
          <w:sz w:val="24"/>
        </w:rPr>
      </w:pPr>
      <w:r w:rsidRPr="002A2A80">
        <w:rPr>
          <w:rFonts w:ascii="Calibri" w:eastAsia="Calibri" w:hAnsi="Calibri" w:cs="Times New Roman"/>
          <w:b/>
          <w:bCs/>
          <w:color w:val="FF0000"/>
          <w:sz w:val="24"/>
        </w:rPr>
        <w:lastRenderedPageBreak/>
        <w:t>Percentuale di RACCOLTA DIFFERENZIATA per Regione, anno 2014</w:t>
      </w:r>
    </w:p>
    <w:p w:rsidR="00183F3F" w:rsidRDefault="00183F3F" w:rsidP="00183F3F">
      <w:pPr>
        <w:jc w:val="both"/>
      </w:pPr>
      <w:r w:rsidRPr="00D61159">
        <w:t>Oltre agli obiettivi di avvio a riciclo imposti dalla normativa europea da raggiungere entro il 2020</w:t>
      </w:r>
      <w:r w:rsidRPr="00183F3F">
        <w:rPr>
          <w:b/>
        </w:rPr>
        <w:t>, l’art. 205 D.Lgs. 152/2006 impone anche il raggiungimento entro il 31 dicembre 2012 di almeno il 65% di raccolta differenziata.</w:t>
      </w:r>
      <w:r>
        <w:rPr>
          <w:b/>
        </w:rPr>
        <w:t xml:space="preserve"> </w:t>
      </w:r>
      <w:r w:rsidRPr="00D61159">
        <w:t xml:space="preserve">Nella tabella sottostante si riportano i valori della percentuale di raccolta differenziata per ripartizione geografica </w:t>
      </w:r>
      <w:r>
        <w:t>dal 2010 al 2014.</w:t>
      </w:r>
    </w:p>
    <w:tbl>
      <w:tblPr>
        <w:tblW w:w="6360" w:type="dxa"/>
        <w:jc w:val="center"/>
        <w:tblCellMar>
          <w:left w:w="70" w:type="dxa"/>
          <w:right w:w="70" w:type="dxa"/>
        </w:tblCellMar>
        <w:tblLook w:val="04A0" w:firstRow="1" w:lastRow="0" w:firstColumn="1" w:lastColumn="0" w:noHBand="0" w:noVBand="1"/>
      </w:tblPr>
      <w:tblGrid>
        <w:gridCol w:w="1320"/>
        <w:gridCol w:w="976"/>
        <w:gridCol w:w="976"/>
        <w:gridCol w:w="976"/>
        <w:gridCol w:w="1136"/>
        <w:gridCol w:w="976"/>
      </w:tblGrid>
      <w:tr w:rsidR="00183F3F" w:rsidRPr="00183F3F" w:rsidTr="005E32C9">
        <w:trPr>
          <w:trHeight w:val="300"/>
          <w:jc w:val="center"/>
        </w:trPr>
        <w:tc>
          <w:tcPr>
            <w:tcW w:w="1320" w:type="dxa"/>
            <w:vMerge w:val="restart"/>
            <w:tcBorders>
              <w:top w:val="nil"/>
              <w:left w:val="nil"/>
              <w:bottom w:val="single" w:sz="8" w:space="0" w:color="000000"/>
              <w:right w:val="nil"/>
            </w:tcBorders>
            <w:shd w:val="clear" w:color="auto" w:fill="auto"/>
            <w:vAlign w:val="bottom"/>
            <w:hideMark/>
          </w:tcPr>
          <w:p w:rsidR="00183F3F" w:rsidRPr="00183F3F" w:rsidRDefault="00183F3F" w:rsidP="00183F3F">
            <w:pPr>
              <w:spacing w:after="0" w:line="240" w:lineRule="auto"/>
              <w:jc w:val="center"/>
              <w:rPr>
                <w:rFonts w:ascii="Calibri" w:eastAsia="Times New Roman" w:hAnsi="Calibri" w:cs="Times New Roman"/>
                <w:b/>
                <w:bCs/>
                <w:color w:val="000000"/>
                <w:sz w:val="20"/>
                <w:szCs w:val="20"/>
                <w:lang w:eastAsia="it-IT"/>
              </w:rPr>
            </w:pPr>
            <w:r w:rsidRPr="00183F3F">
              <w:rPr>
                <w:rFonts w:ascii="Calibri" w:eastAsia="Times New Roman" w:hAnsi="Calibri" w:cs="Times New Roman"/>
                <w:b/>
                <w:bCs/>
                <w:color w:val="000000"/>
                <w:sz w:val="20"/>
                <w:szCs w:val="20"/>
                <w:lang w:eastAsia="it-IT"/>
              </w:rPr>
              <w:t>Ripartizione geografica</w:t>
            </w:r>
          </w:p>
        </w:tc>
        <w:tc>
          <w:tcPr>
            <w:tcW w:w="976"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jc w:val="center"/>
              <w:rPr>
                <w:rFonts w:ascii="Calibri" w:eastAsia="Times New Roman" w:hAnsi="Calibri" w:cs="Times New Roman"/>
                <w:b/>
                <w:bCs/>
                <w:color w:val="000000"/>
                <w:sz w:val="20"/>
                <w:szCs w:val="20"/>
                <w:lang w:eastAsia="it-IT"/>
              </w:rPr>
            </w:pPr>
            <w:r w:rsidRPr="00183F3F">
              <w:rPr>
                <w:rFonts w:ascii="Calibri" w:eastAsia="Times New Roman" w:hAnsi="Calibri" w:cs="Times New Roman"/>
                <w:b/>
                <w:bCs/>
                <w:color w:val="000000"/>
                <w:sz w:val="20"/>
                <w:szCs w:val="20"/>
                <w:lang w:eastAsia="it-IT"/>
              </w:rPr>
              <w:t>%RD 2010</w:t>
            </w:r>
          </w:p>
        </w:tc>
        <w:tc>
          <w:tcPr>
            <w:tcW w:w="976"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jc w:val="center"/>
              <w:rPr>
                <w:rFonts w:ascii="Calibri" w:eastAsia="Times New Roman" w:hAnsi="Calibri" w:cs="Times New Roman"/>
                <w:b/>
                <w:bCs/>
                <w:color w:val="000000"/>
                <w:sz w:val="20"/>
                <w:szCs w:val="20"/>
                <w:lang w:eastAsia="it-IT"/>
              </w:rPr>
            </w:pPr>
            <w:r w:rsidRPr="00183F3F">
              <w:rPr>
                <w:rFonts w:ascii="Calibri" w:eastAsia="Times New Roman" w:hAnsi="Calibri" w:cs="Times New Roman"/>
                <w:b/>
                <w:bCs/>
                <w:color w:val="000000"/>
                <w:sz w:val="20"/>
                <w:szCs w:val="20"/>
                <w:lang w:eastAsia="it-IT"/>
              </w:rPr>
              <w:t>%RD 2011</w:t>
            </w:r>
          </w:p>
        </w:tc>
        <w:tc>
          <w:tcPr>
            <w:tcW w:w="976"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jc w:val="center"/>
              <w:rPr>
                <w:rFonts w:ascii="Calibri" w:eastAsia="Times New Roman" w:hAnsi="Calibri" w:cs="Times New Roman"/>
                <w:b/>
                <w:bCs/>
                <w:color w:val="000000"/>
                <w:sz w:val="20"/>
                <w:szCs w:val="20"/>
                <w:lang w:eastAsia="it-IT"/>
              </w:rPr>
            </w:pPr>
            <w:r w:rsidRPr="00183F3F">
              <w:rPr>
                <w:rFonts w:ascii="Calibri" w:eastAsia="Times New Roman" w:hAnsi="Calibri" w:cs="Times New Roman"/>
                <w:b/>
                <w:bCs/>
                <w:color w:val="000000"/>
                <w:sz w:val="20"/>
                <w:szCs w:val="20"/>
                <w:lang w:eastAsia="it-IT"/>
              </w:rPr>
              <w:t>%RD 2012</w:t>
            </w:r>
          </w:p>
        </w:tc>
        <w:tc>
          <w:tcPr>
            <w:tcW w:w="1136"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jc w:val="center"/>
              <w:rPr>
                <w:rFonts w:ascii="Calibri" w:eastAsia="Times New Roman" w:hAnsi="Calibri" w:cs="Times New Roman"/>
                <w:b/>
                <w:bCs/>
                <w:color w:val="000000"/>
                <w:sz w:val="20"/>
                <w:szCs w:val="20"/>
                <w:lang w:eastAsia="it-IT"/>
              </w:rPr>
            </w:pPr>
            <w:r w:rsidRPr="00183F3F">
              <w:rPr>
                <w:rFonts w:ascii="Calibri" w:eastAsia="Times New Roman" w:hAnsi="Calibri" w:cs="Times New Roman"/>
                <w:b/>
                <w:bCs/>
                <w:color w:val="000000"/>
                <w:sz w:val="20"/>
                <w:szCs w:val="20"/>
                <w:lang w:eastAsia="it-IT"/>
              </w:rPr>
              <w:t>%RD 2013</w:t>
            </w:r>
          </w:p>
        </w:tc>
        <w:tc>
          <w:tcPr>
            <w:tcW w:w="976"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jc w:val="center"/>
              <w:rPr>
                <w:rFonts w:ascii="Calibri" w:eastAsia="Times New Roman" w:hAnsi="Calibri" w:cs="Times New Roman"/>
                <w:b/>
                <w:bCs/>
                <w:color w:val="000000"/>
                <w:sz w:val="20"/>
                <w:szCs w:val="20"/>
                <w:lang w:eastAsia="it-IT"/>
              </w:rPr>
            </w:pPr>
            <w:r w:rsidRPr="00183F3F">
              <w:rPr>
                <w:rFonts w:ascii="Calibri" w:eastAsia="Times New Roman" w:hAnsi="Calibri" w:cs="Times New Roman"/>
                <w:b/>
                <w:bCs/>
                <w:color w:val="000000"/>
                <w:sz w:val="20"/>
                <w:szCs w:val="20"/>
                <w:lang w:eastAsia="it-IT"/>
              </w:rPr>
              <w:t>%RD 2014</w:t>
            </w:r>
          </w:p>
        </w:tc>
      </w:tr>
      <w:tr w:rsidR="00183F3F" w:rsidRPr="00183F3F" w:rsidTr="005E32C9">
        <w:trPr>
          <w:trHeight w:val="315"/>
          <w:jc w:val="center"/>
        </w:trPr>
        <w:tc>
          <w:tcPr>
            <w:tcW w:w="1320" w:type="dxa"/>
            <w:vMerge/>
            <w:tcBorders>
              <w:top w:val="nil"/>
              <w:left w:val="nil"/>
              <w:bottom w:val="single" w:sz="8" w:space="0" w:color="000000"/>
              <w:right w:val="nil"/>
            </w:tcBorders>
            <w:vAlign w:val="center"/>
            <w:hideMark/>
          </w:tcPr>
          <w:p w:rsidR="00183F3F" w:rsidRPr="00183F3F" w:rsidRDefault="00183F3F" w:rsidP="00183F3F">
            <w:pPr>
              <w:spacing w:after="0" w:line="240" w:lineRule="auto"/>
              <w:rPr>
                <w:rFonts w:ascii="Calibri" w:eastAsia="Times New Roman" w:hAnsi="Calibri" w:cs="Times New Roman"/>
                <w:b/>
                <w:bCs/>
                <w:color w:val="000000"/>
                <w:sz w:val="20"/>
                <w:szCs w:val="20"/>
                <w:lang w:eastAsia="it-IT"/>
              </w:rPr>
            </w:pPr>
          </w:p>
        </w:tc>
        <w:tc>
          <w:tcPr>
            <w:tcW w:w="976" w:type="dxa"/>
            <w:tcBorders>
              <w:top w:val="nil"/>
              <w:left w:val="nil"/>
              <w:bottom w:val="single" w:sz="8" w:space="0" w:color="auto"/>
              <w:right w:val="nil"/>
            </w:tcBorders>
            <w:shd w:val="clear" w:color="auto" w:fill="auto"/>
            <w:noWrap/>
            <w:vAlign w:val="bottom"/>
            <w:hideMark/>
          </w:tcPr>
          <w:p w:rsidR="00183F3F" w:rsidRPr="00183F3F" w:rsidRDefault="00183F3F" w:rsidP="00183F3F">
            <w:pPr>
              <w:spacing w:after="0" w:line="240" w:lineRule="auto"/>
              <w:jc w:val="center"/>
              <w:rPr>
                <w:rFonts w:ascii="Calibri" w:eastAsia="Times New Roman" w:hAnsi="Calibri" w:cs="Times New Roman"/>
                <w:b/>
                <w:bCs/>
                <w:color w:val="000000"/>
                <w:sz w:val="20"/>
                <w:szCs w:val="20"/>
                <w:lang w:eastAsia="it-IT"/>
              </w:rPr>
            </w:pPr>
            <w:r w:rsidRPr="00183F3F">
              <w:rPr>
                <w:rFonts w:ascii="Calibri" w:eastAsia="Times New Roman" w:hAnsi="Calibri" w:cs="Times New Roman"/>
                <w:b/>
                <w:bCs/>
                <w:color w:val="000000"/>
                <w:sz w:val="20"/>
                <w:szCs w:val="20"/>
                <w:lang w:eastAsia="it-IT"/>
              </w:rPr>
              <w:t> </w:t>
            </w:r>
          </w:p>
        </w:tc>
        <w:tc>
          <w:tcPr>
            <w:tcW w:w="976" w:type="dxa"/>
            <w:tcBorders>
              <w:top w:val="nil"/>
              <w:left w:val="nil"/>
              <w:bottom w:val="single" w:sz="8" w:space="0" w:color="auto"/>
              <w:right w:val="nil"/>
            </w:tcBorders>
            <w:shd w:val="clear" w:color="auto" w:fill="auto"/>
            <w:noWrap/>
            <w:vAlign w:val="bottom"/>
            <w:hideMark/>
          </w:tcPr>
          <w:p w:rsidR="00183F3F" w:rsidRPr="00183F3F" w:rsidRDefault="00183F3F" w:rsidP="00183F3F">
            <w:pPr>
              <w:spacing w:after="0" w:line="240" w:lineRule="auto"/>
              <w:jc w:val="center"/>
              <w:rPr>
                <w:rFonts w:ascii="Calibri" w:eastAsia="Times New Roman" w:hAnsi="Calibri" w:cs="Times New Roman"/>
                <w:b/>
                <w:bCs/>
                <w:color w:val="000000"/>
                <w:sz w:val="20"/>
                <w:szCs w:val="20"/>
                <w:lang w:eastAsia="it-IT"/>
              </w:rPr>
            </w:pPr>
            <w:r w:rsidRPr="00183F3F">
              <w:rPr>
                <w:rFonts w:ascii="Calibri" w:eastAsia="Times New Roman" w:hAnsi="Calibri" w:cs="Times New Roman"/>
                <w:b/>
                <w:bCs/>
                <w:color w:val="000000"/>
                <w:sz w:val="20"/>
                <w:szCs w:val="20"/>
                <w:lang w:eastAsia="it-IT"/>
              </w:rPr>
              <w:t> </w:t>
            </w:r>
          </w:p>
        </w:tc>
        <w:tc>
          <w:tcPr>
            <w:tcW w:w="976" w:type="dxa"/>
            <w:tcBorders>
              <w:top w:val="nil"/>
              <w:left w:val="nil"/>
              <w:bottom w:val="single" w:sz="8" w:space="0" w:color="auto"/>
              <w:right w:val="nil"/>
            </w:tcBorders>
            <w:shd w:val="clear" w:color="auto" w:fill="auto"/>
            <w:noWrap/>
            <w:vAlign w:val="bottom"/>
            <w:hideMark/>
          </w:tcPr>
          <w:p w:rsidR="00183F3F" w:rsidRPr="00183F3F" w:rsidRDefault="00183F3F" w:rsidP="00183F3F">
            <w:pPr>
              <w:spacing w:after="0" w:line="240" w:lineRule="auto"/>
              <w:jc w:val="center"/>
              <w:rPr>
                <w:rFonts w:ascii="Calibri" w:eastAsia="Times New Roman" w:hAnsi="Calibri" w:cs="Times New Roman"/>
                <w:b/>
                <w:bCs/>
                <w:color w:val="000000"/>
                <w:sz w:val="20"/>
                <w:szCs w:val="20"/>
                <w:lang w:eastAsia="it-IT"/>
              </w:rPr>
            </w:pPr>
            <w:r w:rsidRPr="00183F3F">
              <w:rPr>
                <w:rFonts w:ascii="Calibri" w:eastAsia="Times New Roman" w:hAnsi="Calibri" w:cs="Times New Roman"/>
                <w:b/>
                <w:bCs/>
                <w:color w:val="000000"/>
                <w:sz w:val="20"/>
                <w:szCs w:val="20"/>
                <w:lang w:eastAsia="it-IT"/>
              </w:rPr>
              <w:t> </w:t>
            </w:r>
          </w:p>
        </w:tc>
        <w:tc>
          <w:tcPr>
            <w:tcW w:w="1136" w:type="dxa"/>
            <w:tcBorders>
              <w:top w:val="nil"/>
              <w:left w:val="nil"/>
              <w:bottom w:val="single" w:sz="8" w:space="0" w:color="auto"/>
              <w:right w:val="nil"/>
            </w:tcBorders>
            <w:shd w:val="clear" w:color="auto" w:fill="auto"/>
            <w:noWrap/>
            <w:vAlign w:val="bottom"/>
            <w:hideMark/>
          </w:tcPr>
          <w:p w:rsidR="00183F3F" w:rsidRPr="00183F3F" w:rsidRDefault="00183F3F" w:rsidP="00183F3F">
            <w:pPr>
              <w:spacing w:after="0" w:line="240" w:lineRule="auto"/>
              <w:jc w:val="center"/>
              <w:rPr>
                <w:rFonts w:ascii="Calibri" w:eastAsia="Times New Roman" w:hAnsi="Calibri" w:cs="Times New Roman"/>
                <w:b/>
                <w:bCs/>
                <w:color w:val="000000"/>
                <w:sz w:val="20"/>
                <w:szCs w:val="20"/>
                <w:lang w:eastAsia="it-IT"/>
              </w:rPr>
            </w:pPr>
            <w:r w:rsidRPr="00183F3F">
              <w:rPr>
                <w:rFonts w:ascii="Calibri" w:eastAsia="Times New Roman" w:hAnsi="Calibri" w:cs="Times New Roman"/>
                <w:b/>
                <w:bCs/>
                <w:color w:val="000000"/>
                <w:sz w:val="20"/>
                <w:szCs w:val="20"/>
                <w:lang w:eastAsia="it-IT"/>
              </w:rPr>
              <w:t> </w:t>
            </w:r>
          </w:p>
        </w:tc>
        <w:tc>
          <w:tcPr>
            <w:tcW w:w="976" w:type="dxa"/>
            <w:tcBorders>
              <w:top w:val="nil"/>
              <w:left w:val="nil"/>
              <w:bottom w:val="single" w:sz="8" w:space="0" w:color="auto"/>
              <w:right w:val="nil"/>
            </w:tcBorders>
            <w:shd w:val="clear" w:color="auto" w:fill="auto"/>
            <w:noWrap/>
            <w:vAlign w:val="bottom"/>
            <w:hideMark/>
          </w:tcPr>
          <w:p w:rsidR="00183F3F" w:rsidRPr="00183F3F" w:rsidRDefault="00183F3F" w:rsidP="00183F3F">
            <w:pPr>
              <w:spacing w:after="0" w:line="240" w:lineRule="auto"/>
              <w:jc w:val="center"/>
              <w:rPr>
                <w:rFonts w:ascii="Calibri" w:eastAsia="Times New Roman" w:hAnsi="Calibri" w:cs="Times New Roman"/>
                <w:b/>
                <w:bCs/>
                <w:color w:val="000000"/>
                <w:sz w:val="20"/>
                <w:szCs w:val="20"/>
                <w:lang w:eastAsia="it-IT"/>
              </w:rPr>
            </w:pPr>
            <w:r w:rsidRPr="00183F3F">
              <w:rPr>
                <w:rFonts w:ascii="Calibri" w:eastAsia="Times New Roman" w:hAnsi="Calibri" w:cs="Times New Roman"/>
                <w:b/>
                <w:bCs/>
                <w:color w:val="000000"/>
                <w:sz w:val="20"/>
                <w:szCs w:val="20"/>
                <w:lang w:eastAsia="it-IT"/>
              </w:rPr>
              <w:t> </w:t>
            </w:r>
          </w:p>
        </w:tc>
      </w:tr>
      <w:tr w:rsidR="00183F3F" w:rsidRPr="00183F3F" w:rsidTr="005E32C9">
        <w:trPr>
          <w:trHeight w:val="300"/>
          <w:jc w:val="center"/>
        </w:trPr>
        <w:tc>
          <w:tcPr>
            <w:tcW w:w="1320"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NORD-OVEST</w:t>
            </w:r>
          </w:p>
        </w:tc>
        <w:tc>
          <w:tcPr>
            <w:tcW w:w="976"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jc w:val="right"/>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42,32%</w:t>
            </w:r>
          </w:p>
        </w:tc>
        <w:tc>
          <w:tcPr>
            <w:tcW w:w="976"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jc w:val="right"/>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45,64%</w:t>
            </w:r>
          </w:p>
        </w:tc>
        <w:tc>
          <w:tcPr>
            <w:tcW w:w="976"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jc w:val="right"/>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48,63%</w:t>
            </w:r>
          </w:p>
        </w:tc>
        <w:tc>
          <w:tcPr>
            <w:tcW w:w="1136"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jc w:val="right"/>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48,91%</w:t>
            </w:r>
          </w:p>
        </w:tc>
        <w:tc>
          <w:tcPr>
            <w:tcW w:w="976" w:type="dxa"/>
            <w:tcBorders>
              <w:top w:val="nil"/>
              <w:left w:val="nil"/>
              <w:bottom w:val="nil"/>
              <w:right w:val="nil"/>
            </w:tcBorders>
            <w:shd w:val="clear" w:color="auto" w:fill="auto"/>
            <w:noWrap/>
            <w:vAlign w:val="bottom"/>
            <w:hideMark/>
          </w:tcPr>
          <w:p w:rsidR="00183F3F" w:rsidRPr="00183F3F" w:rsidRDefault="00183F3F" w:rsidP="00183F3F">
            <w:pPr>
              <w:autoSpaceDE w:val="0"/>
              <w:autoSpaceDN w:val="0"/>
              <w:adjustRightInd w:val="0"/>
              <w:spacing w:after="0" w:line="240" w:lineRule="auto"/>
              <w:jc w:val="right"/>
              <w:rPr>
                <w:rFonts w:ascii="Calibri" w:eastAsia="Calibri" w:hAnsi="Calibri" w:cs="Calibri"/>
                <w:color w:val="000000"/>
                <w:sz w:val="20"/>
                <w:szCs w:val="20"/>
              </w:rPr>
            </w:pPr>
            <w:r w:rsidRPr="00183F3F">
              <w:rPr>
                <w:rFonts w:ascii="Calibri" w:eastAsia="Calibri" w:hAnsi="Calibri" w:cs="Calibri"/>
                <w:color w:val="000000"/>
                <w:sz w:val="20"/>
                <w:szCs w:val="20"/>
              </w:rPr>
              <w:t>55,58%</w:t>
            </w:r>
          </w:p>
        </w:tc>
      </w:tr>
      <w:tr w:rsidR="00183F3F" w:rsidRPr="00183F3F" w:rsidTr="005E32C9">
        <w:trPr>
          <w:trHeight w:val="300"/>
          <w:jc w:val="center"/>
        </w:trPr>
        <w:tc>
          <w:tcPr>
            <w:tcW w:w="1320"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NORD-EST</w:t>
            </w:r>
          </w:p>
        </w:tc>
        <w:tc>
          <w:tcPr>
            <w:tcW w:w="976"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jc w:val="right"/>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49,04%</w:t>
            </w:r>
          </w:p>
        </w:tc>
        <w:tc>
          <w:tcPr>
            <w:tcW w:w="976"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jc w:val="right"/>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51,69%</w:t>
            </w:r>
          </w:p>
        </w:tc>
        <w:tc>
          <w:tcPr>
            <w:tcW w:w="976"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jc w:val="right"/>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54,89%</w:t>
            </w:r>
          </w:p>
        </w:tc>
        <w:tc>
          <w:tcPr>
            <w:tcW w:w="1136"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jc w:val="right"/>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56,30%</w:t>
            </w:r>
          </w:p>
        </w:tc>
        <w:tc>
          <w:tcPr>
            <w:tcW w:w="976" w:type="dxa"/>
            <w:tcBorders>
              <w:top w:val="nil"/>
              <w:left w:val="nil"/>
              <w:bottom w:val="nil"/>
              <w:right w:val="nil"/>
            </w:tcBorders>
            <w:shd w:val="clear" w:color="auto" w:fill="auto"/>
            <w:noWrap/>
            <w:vAlign w:val="bottom"/>
            <w:hideMark/>
          </w:tcPr>
          <w:p w:rsidR="00183F3F" w:rsidRPr="00183F3F" w:rsidRDefault="00183F3F" w:rsidP="00183F3F">
            <w:pPr>
              <w:autoSpaceDE w:val="0"/>
              <w:autoSpaceDN w:val="0"/>
              <w:adjustRightInd w:val="0"/>
              <w:spacing w:after="0" w:line="240" w:lineRule="auto"/>
              <w:jc w:val="right"/>
              <w:rPr>
                <w:rFonts w:ascii="Calibri" w:eastAsia="Calibri" w:hAnsi="Calibri" w:cs="Calibri"/>
                <w:color w:val="000000"/>
                <w:sz w:val="20"/>
                <w:szCs w:val="20"/>
              </w:rPr>
            </w:pPr>
            <w:r w:rsidRPr="00183F3F">
              <w:rPr>
                <w:rFonts w:ascii="Calibri" w:eastAsia="Calibri" w:hAnsi="Calibri" w:cs="Calibri"/>
                <w:color w:val="000000"/>
                <w:sz w:val="20"/>
                <w:szCs w:val="20"/>
              </w:rPr>
              <w:t>53,52%</w:t>
            </w:r>
          </w:p>
        </w:tc>
      </w:tr>
      <w:tr w:rsidR="00183F3F" w:rsidRPr="00183F3F" w:rsidTr="005E32C9">
        <w:trPr>
          <w:trHeight w:val="300"/>
          <w:jc w:val="center"/>
        </w:trPr>
        <w:tc>
          <w:tcPr>
            <w:tcW w:w="1320"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CENTRO</w:t>
            </w:r>
          </w:p>
        </w:tc>
        <w:tc>
          <w:tcPr>
            <w:tcW w:w="976"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jc w:val="right"/>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26,04%</w:t>
            </w:r>
          </w:p>
        </w:tc>
        <w:tc>
          <w:tcPr>
            <w:tcW w:w="976"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jc w:val="right"/>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28,72%</w:t>
            </w:r>
          </w:p>
        </w:tc>
        <w:tc>
          <w:tcPr>
            <w:tcW w:w="976"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jc w:val="right"/>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33,11%</w:t>
            </w:r>
          </w:p>
        </w:tc>
        <w:tc>
          <w:tcPr>
            <w:tcW w:w="1136"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jc w:val="right"/>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36,26%</w:t>
            </w:r>
          </w:p>
        </w:tc>
        <w:tc>
          <w:tcPr>
            <w:tcW w:w="976" w:type="dxa"/>
            <w:tcBorders>
              <w:top w:val="nil"/>
              <w:left w:val="nil"/>
              <w:bottom w:val="nil"/>
              <w:right w:val="nil"/>
            </w:tcBorders>
            <w:shd w:val="clear" w:color="auto" w:fill="auto"/>
            <w:noWrap/>
            <w:vAlign w:val="bottom"/>
            <w:hideMark/>
          </w:tcPr>
          <w:p w:rsidR="00183F3F" w:rsidRPr="00183F3F" w:rsidRDefault="00183F3F" w:rsidP="00183F3F">
            <w:pPr>
              <w:autoSpaceDE w:val="0"/>
              <w:autoSpaceDN w:val="0"/>
              <w:adjustRightInd w:val="0"/>
              <w:spacing w:after="0" w:line="240" w:lineRule="auto"/>
              <w:jc w:val="right"/>
              <w:rPr>
                <w:rFonts w:ascii="Calibri" w:eastAsia="Calibri" w:hAnsi="Calibri" w:cs="Calibri"/>
                <w:color w:val="000000"/>
                <w:sz w:val="20"/>
                <w:szCs w:val="20"/>
              </w:rPr>
            </w:pPr>
            <w:r w:rsidRPr="00183F3F">
              <w:rPr>
                <w:rFonts w:ascii="Calibri" w:eastAsia="Calibri" w:hAnsi="Calibri" w:cs="Calibri"/>
                <w:color w:val="000000"/>
                <w:sz w:val="20"/>
                <w:szCs w:val="20"/>
              </w:rPr>
              <w:t>40,99%</w:t>
            </w:r>
          </w:p>
        </w:tc>
      </w:tr>
      <w:tr w:rsidR="00183F3F" w:rsidRPr="00183F3F" w:rsidTr="005E32C9">
        <w:trPr>
          <w:trHeight w:val="315"/>
          <w:jc w:val="center"/>
        </w:trPr>
        <w:tc>
          <w:tcPr>
            <w:tcW w:w="1320" w:type="dxa"/>
            <w:tcBorders>
              <w:top w:val="nil"/>
              <w:left w:val="nil"/>
              <w:bottom w:val="single" w:sz="8" w:space="0" w:color="auto"/>
              <w:right w:val="nil"/>
            </w:tcBorders>
            <w:shd w:val="clear" w:color="auto" w:fill="auto"/>
            <w:noWrap/>
            <w:vAlign w:val="bottom"/>
            <w:hideMark/>
          </w:tcPr>
          <w:p w:rsidR="00183F3F" w:rsidRPr="00183F3F" w:rsidRDefault="00183F3F" w:rsidP="00183F3F">
            <w:pPr>
              <w:spacing w:after="0" w:line="240" w:lineRule="auto"/>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SUD e ISOLE</w:t>
            </w:r>
          </w:p>
        </w:tc>
        <w:tc>
          <w:tcPr>
            <w:tcW w:w="976" w:type="dxa"/>
            <w:tcBorders>
              <w:top w:val="nil"/>
              <w:left w:val="nil"/>
              <w:bottom w:val="single" w:sz="8" w:space="0" w:color="auto"/>
              <w:right w:val="nil"/>
            </w:tcBorders>
            <w:shd w:val="clear" w:color="auto" w:fill="auto"/>
            <w:noWrap/>
            <w:vAlign w:val="bottom"/>
            <w:hideMark/>
          </w:tcPr>
          <w:p w:rsidR="00183F3F" w:rsidRPr="00183F3F" w:rsidRDefault="00183F3F" w:rsidP="00183F3F">
            <w:pPr>
              <w:spacing w:after="0" w:line="240" w:lineRule="auto"/>
              <w:jc w:val="right"/>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18,76%</w:t>
            </w:r>
          </w:p>
        </w:tc>
        <w:tc>
          <w:tcPr>
            <w:tcW w:w="976" w:type="dxa"/>
            <w:tcBorders>
              <w:top w:val="nil"/>
              <w:left w:val="nil"/>
              <w:bottom w:val="single" w:sz="8" w:space="0" w:color="auto"/>
              <w:right w:val="nil"/>
            </w:tcBorders>
            <w:shd w:val="clear" w:color="auto" w:fill="auto"/>
            <w:noWrap/>
            <w:vAlign w:val="bottom"/>
            <w:hideMark/>
          </w:tcPr>
          <w:p w:rsidR="00183F3F" w:rsidRPr="00183F3F" w:rsidRDefault="00183F3F" w:rsidP="00183F3F">
            <w:pPr>
              <w:spacing w:after="0" w:line="240" w:lineRule="auto"/>
              <w:jc w:val="right"/>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22,33%</w:t>
            </w:r>
          </w:p>
        </w:tc>
        <w:tc>
          <w:tcPr>
            <w:tcW w:w="976" w:type="dxa"/>
            <w:tcBorders>
              <w:top w:val="nil"/>
              <w:left w:val="nil"/>
              <w:bottom w:val="single" w:sz="8" w:space="0" w:color="auto"/>
              <w:right w:val="nil"/>
            </w:tcBorders>
            <w:shd w:val="clear" w:color="auto" w:fill="auto"/>
            <w:noWrap/>
            <w:vAlign w:val="bottom"/>
            <w:hideMark/>
          </w:tcPr>
          <w:p w:rsidR="00183F3F" w:rsidRPr="00183F3F" w:rsidRDefault="00183F3F" w:rsidP="00183F3F">
            <w:pPr>
              <w:spacing w:after="0" w:line="240" w:lineRule="auto"/>
              <w:jc w:val="right"/>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24,97%</w:t>
            </w:r>
          </w:p>
        </w:tc>
        <w:tc>
          <w:tcPr>
            <w:tcW w:w="1136" w:type="dxa"/>
            <w:tcBorders>
              <w:top w:val="nil"/>
              <w:left w:val="nil"/>
              <w:bottom w:val="single" w:sz="8" w:space="0" w:color="auto"/>
              <w:right w:val="nil"/>
            </w:tcBorders>
            <w:shd w:val="clear" w:color="auto" w:fill="auto"/>
            <w:noWrap/>
            <w:vAlign w:val="bottom"/>
            <w:hideMark/>
          </w:tcPr>
          <w:p w:rsidR="00183F3F" w:rsidRPr="00183F3F" w:rsidRDefault="00183F3F" w:rsidP="00183F3F">
            <w:pPr>
              <w:spacing w:after="0" w:line="240" w:lineRule="auto"/>
              <w:jc w:val="right"/>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26,95%</w:t>
            </w:r>
          </w:p>
        </w:tc>
        <w:tc>
          <w:tcPr>
            <w:tcW w:w="976" w:type="dxa"/>
            <w:tcBorders>
              <w:top w:val="nil"/>
              <w:left w:val="nil"/>
              <w:bottom w:val="single" w:sz="8" w:space="0" w:color="auto"/>
              <w:right w:val="nil"/>
            </w:tcBorders>
            <w:shd w:val="clear" w:color="auto" w:fill="auto"/>
            <w:noWrap/>
            <w:vAlign w:val="bottom"/>
            <w:hideMark/>
          </w:tcPr>
          <w:p w:rsidR="00183F3F" w:rsidRPr="00183F3F" w:rsidRDefault="00183F3F" w:rsidP="00183F3F">
            <w:pPr>
              <w:autoSpaceDE w:val="0"/>
              <w:autoSpaceDN w:val="0"/>
              <w:adjustRightInd w:val="0"/>
              <w:spacing w:after="0" w:line="240" w:lineRule="auto"/>
              <w:jc w:val="right"/>
              <w:rPr>
                <w:rFonts w:ascii="Calibri" w:eastAsia="Calibri" w:hAnsi="Calibri" w:cs="Calibri"/>
                <w:color w:val="000000"/>
                <w:sz w:val="20"/>
                <w:szCs w:val="20"/>
              </w:rPr>
            </w:pPr>
            <w:r w:rsidRPr="00183F3F">
              <w:rPr>
                <w:rFonts w:ascii="Calibri" w:eastAsia="Calibri" w:hAnsi="Calibri" w:cs="Calibri"/>
                <w:color w:val="000000"/>
                <w:sz w:val="20"/>
                <w:szCs w:val="20"/>
              </w:rPr>
              <w:t>30,65%</w:t>
            </w:r>
          </w:p>
        </w:tc>
      </w:tr>
      <w:tr w:rsidR="00183F3F" w:rsidRPr="00183F3F" w:rsidTr="005E32C9">
        <w:trPr>
          <w:trHeight w:val="300"/>
          <w:jc w:val="center"/>
        </w:trPr>
        <w:tc>
          <w:tcPr>
            <w:tcW w:w="1320"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rPr>
                <w:rFonts w:ascii="Calibri" w:eastAsia="Times New Roman" w:hAnsi="Calibri" w:cs="Times New Roman"/>
                <w:b/>
                <w:bCs/>
                <w:color w:val="000000"/>
                <w:sz w:val="20"/>
                <w:szCs w:val="20"/>
                <w:lang w:eastAsia="it-IT"/>
              </w:rPr>
            </w:pPr>
            <w:r w:rsidRPr="00183F3F">
              <w:rPr>
                <w:rFonts w:ascii="Calibri" w:eastAsia="Times New Roman" w:hAnsi="Calibri" w:cs="Times New Roman"/>
                <w:b/>
                <w:bCs/>
                <w:color w:val="000000"/>
                <w:sz w:val="20"/>
                <w:szCs w:val="20"/>
                <w:lang w:eastAsia="it-IT"/>
              </w:rPr>
              <w:t>ITALIA</w:t>
            </w:r>
          </w:p>
        </w:tc>
        <w:tc>
          <w:tcPr>
            <w:tcW w:w="976"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jc w:val="right"/>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33,26%</w:t>
            </w:r>
          </w:p>
        </w:tc>
        <w:tc>
          <w:tcPr>
            <w:tcW w:w="976"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jc w:val="right"/>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35,53%</w:t>
            </w:r>
          </w:p>
        </w:tc>
        <w:tc>
          <w:tcPr>
            <w:tcW w:w="976"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jc w:val="right"/>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39,89%</w:t>
            </w:r>
          </w:p>
        </w:tc>
        <w:tc>
          <w:tcPr>
            <w:tcW w:w="1136" w:type="dxa"/>
            <w:tcBorders>
              <w:top w:val="nil"/>
              <w:left w:val="nil"/>
              <w:bottom w:val="nil"/>
              <w:right w:val="nil"/>
            </w:tcBorders>
            <w:shd w:val="clear" w:color="auto" w:fill="auto"/>
            <w:noWrap/>
            <w:vAlign w:val="bottom"/>
            <w:hideMark/>
          </w:tcPr>
          <w:p w:rsidR="00183F3F" w:rsidRPr="00183F3F" w:rsidRDefault="00183F3F" w:rsidP="00183F3F">
            <w:pPr>
              <w:spacing w:after="0" w:line="240" w:lineRule="auto"/>
              <w:jc w:val="right"/>
              <w:rPr>
                <w:rFonts w:ascii="Calibri" w:eastAsia="Times New Roman" w:hAnsi="Calibri" w:cs="Times New Roman"/>
                <w:color w:val="000000"/>
                <w:sz w:val="20"/>
                <w:szCs w:val="20"/>
                <w:lang w:eastAsia="it-IT"/>
              </w:rPr>
            </w:pPr>
            <w:r w:rsidRPr="00183F3F">
              <w:rPr>
                <w:rFonts w:ascii="Calibri" w:eastAsia="Times New Roman" w:hAnsi="Calibri" w:cs="Times New Roman"/>
                <w:color w:val="000000"/>
                <w:sz w:val="20"/>
                <w:szCs w:val="20"/>
                <w:lang w:eastAsia="it-IT"/>
              </w:rPr>
              <w:t>42,31%</w:t>
            </w:r>
          </w:p>
        </w:tc>
        <w:tc>
          <w:tcPr>
            <w:tcW w:w="976" w:type="dxa"/>
            <w:tcBorders>
              <w:top w:val="nil"/>
              <w:left w:val="nil"/>
              <w:bottom w:val="nil"/>
              <w:right w:val="nil"/>
            </w:tcBorders>
            <w:shd w:val="clear" w:color="auto" w:fill="auto"/>
            <w:noWrap/>
            <w:vAlign w:val="bottom"/>
            <w:hideMark/>
          </w:tcPr>
          <w:p w:rsidR="00183F3F" w:rsidRPr="00183F3F" w:rsidRDefault="00183F3F" w:rsidP="00183F3F">
            <w:pPr>
              <w:autoSpaceDE w:val="0"/>
              <w:autoSpaceDN w:val="0"/>
              <w:adjustRightInd w:val="0"/>
              <w:spacing w:after="0" w:line="240" w:lineRule="auto"/>
              <w:jc w:val="right"/>
              <w:rPr>
                <w:rFonts w:ascii="Calibri" w:eastAsia="Calibri" w:hAnsi="Calibri" w:cs="Calibri"/>
                <w:color w:val="000000"/>
              </w:rPr>
            </w:pPr>
            <w:r w:rsidRPr="00183F3F">
              <w:rPr>
                <w:rFonts w:ascii="Calibri" w:eastAsia="Calibri" w:hAnsi="Calibri" w:cs="Calibri"/>
                <w:color w:val="000000"/>
                <w:sz w:val="20"/>
              </w:rPr>
              <w:t>45,98%</w:t>
            </w:r>
          </w:p>
        </w:tc>
      </w:tr>
    </w:tbl>
    <w:p w:rsidR="00183F3F" w:rsidRPr="00183F3F" w:rsidRDefault="00183F3F" w:rsidP="00183F3F">
      <w:pPr>
        <w:jc w:val="both"/>
        <w:rPr>
          <w:bCs/>
        </w:rPr>
      </w:pPr>
    </w:p>
    <w:p w:rsidR="00183F3F" w:rsidRPr="00183F3F" w:rsidRDefault="00183F3F" w:rsidP="00183F3F">
      <w:pPr>
        <w:jc w:val="both"/>
        <w:rPr>
          <w:bCs/>
        </w:rPr>
      </w:pPr>
      <w:r w:rsidRPr="00183F3F">
        <w:rPr>
          <w:bCs/>
        </w:rPr>
        <w:t xml:space="preserve">Come si può vedere, </w:t>
      </w:r>
      <w:r w:rsidRPr="00183F3F">
        <w:rPr>
          <w:b/>
          <w:bCs/>
        </w:rPr>
        <w:t>continua a cresc</w:t>
      </w:r>
      <w:r>
        <w:rPr>
          <w:b/>
          <w:bCs/>
        </w:rPr>
        <w:t>ere la raccolta differenziata: N</w:t>
      </w:r>
      <w:r w:rsidRPr="00183F3F">
        <w:rPr>
          <w:b/>
          <w:bCs/>
        </w:rPr>
        <w:t>el 2014 si è registrato un incremento di 3,67 punti percentuali.</w:t>
      </w:r>
      <w:r w:rsidRPr="00183F3F">
        <w:rPr>
          <w:bCs/>
        </w:rPr>
        <w:t xml:space="preserve"> Dal 2010 ad oggi, </w:t>
      </w:r>
      <w:r w:rsidRPr="00183F3F">
        <w:rPr>
          <w:b/>
          <w:bCs/>
        </w:rPr>
        <w:t>la crescita più marcata si è registrata al Centro</w:t>
      </w:r>
      <w:r w:rsidRPr="00183F3F">
        <w:rPr>
          <w:bCs/>
        </w:rPr>
        <w:t xml:space="preserve"> (oltre 15 punti percentuali) e al Sud (oltre 12 punti percentuali). Nell’ultimo anno si registra un calo della percentuale di raccolta differenziata nel nord-est, dovuto principalmente al calo di RD riscontrato dai dati della regione Veneto.</w:t>
      </w:r>
    </w:p>
    <w:p w:rsidR="002A2A80" w:rsidRDefault="002A2A80" w:rsidP="002802DB">
      <w:pPr>
        <w:jc w:val="both"/>
        <w:rPr>
          <w:bCs/>
        </w:rPr>
      </w:pPr>
    </w:p>
    <w:p w:rsidR="002802DB" w:rsidRPr="002A2A80" w:rsidRDefault="002802DB" w:rsidP="002A2A80">
      <w:pPr>
        <w:pStyle w:val="Paragrafoelenco"/>
        <w:numPr>
          <w:ilvl w:val="0"/>
          <w:numId w:val="2"/>
        </w:numPr>
        <w:jc w:val="both"/>
        <w:rPr>
          <w:b/>
          <w:bCs/>
          <w:color w:val="FF0000"/>
          <w:sz w:val="24"/>
        </w:rPr>
      </w:pPr>
      <w:r w:rsidRPr="002A2A80">
        <w:rPr>
          <w:b/>
          <w:bCs/>
          <w:color w:val="FF0000"/>
          <w:sz w:val="24"/>
        </w:rPr>
        <w:t>Emissioni evitate grazie al riciclo</w:t>
      </w:r>
    </w:p>
    <w:p w:rsidR="002802DB" w:rsidRDefault="002802DB" w:rsidP="002802DB">
      <w:pPr>
        <w:jc w:val="both"/>
        <w:rPr>
          <w:bCs/>
        </w:rPr>
      </w:pPr>
      <w:r w:rsidRPr="002802DB">
        <w:rPr>
          <w:bCs/>
        </w:rPr>
        <w:t>Il Protocollo di Kyoto impegna i Paesi industrializzati a ridurre le emissioni di gas serra del nostro pianeta. La riduzione deve essere intesa come riduzione delle emissioni nette, vale a dire derivate dal bilancio di quanto effettivamente viene emesso in atmosfera e quanto viene sottratto/evitato.</w:t>
      </w:r>
    </w:p>
    <w:p w:rsidR="00CF727C" w:rsidRDefault="00CF727C" w:rsidP="00CF727C">
      <w:pPr>
        <w:spacing w:after="120"/>
        <w:jc w:val="both"/>
      </w:pPr>
      <w:r>
        <w:t>Per quanto riguarda le emissioni evitate, il peso dei rifiuti viene moltiplicato per un fattore di sostituzione che rappresenta la percentuale per la quale il materiale riciclato copre le emissioni necessarie per la produzione di materia prima vergine.</w:t>
      </w:r>
    </w:p>
    <w:p w:rsidR="00CF727C" w:rsidRPr="00F43782" w:rsidRDefault="00CF727C" w:rsidP="00CF727C">
      <w:pPr>
        <w:jc w:val="both"/>
        <w:rPr>
          <w:bCs/>
        </w:rPr>
      </w:pPr>
      <w:r>
        <w:rPr>
          <w:bCs/>
        </w:rPr>
        <w:t xml:space="preserve">In base ai calcoli di avvio a riciclo, sono state </w:t>
      </w:r>
      <w:r w:rsidRPr="00CF727C">
        <w:rPr>
          <w:b/>
          <w:bCs/>
        </w:rPr>
        <w:t>stimate le emissioni di CO</w:t>
      </w:r>
      <w:r w:rsidRPr="00CF727C">
        <w:rPr>
          <w:b/>
          <w:bCs/>
          <w:vertAlign w:val="subscript"/>
        </w:rPr>
        <w:t>2</w:t>
      </w:r>
      <w:r w:rsidRPr="00CF727C">
        <w:rPr>
          <w:b/>
          <w:bCs/>
        </w:rPr>
        <w:t>eq risparmiate grazie al riciclo</w:t>
      </w:r>
      <w:r>
        <w:rPr>
          <w:bCs/>
        </w:rPr>
        <w:t>; tali dati sono riportati nella tabella seguente in cui sono evidenziate le Regioni che hanno raggiunto il 50% di avvio a riciclo.</w:t>
      </w:r>
    </w:p>
    <w:p w:rsidR="00CF727C" w:rsidRDefault="00CF727C" w:rsidP="00CF727C">
      <w:pPr>
        <w:rPr>
          <w:b/>
          <w:bCs/>
        </w:rPr>
      </w:pPr>
    </w:p>
    <w:p w:rsidR="00CF727C" w:rsidRPr="00132EE8" w:rsidRDefault="00CF727C" w:rsidP="00CF727C">
      <w:pPr>
        <w:rPr>
          <w:b/>
          <w:bCs/>
        </w:rPr>
      </w:pPr>
      <w:r w:rsidRPr="00132EE8">
        <w:rPr>
          <w:b/>
          <w:bCs/>
        </w:rPr>
        <w:t>Stima emissioni nette risparmiate grazie al riciclo</w:t>
      </w:r>
    </w:p>
    <w:tbl>
      <w:tblPr>
        <w:tblW w:w="5705" w:type="dxa"/>
        <w:tblInd w:w="70" w:type="dxa"/>
        <w:tblCellMar>
          <w:left w:w="70" w:type="dxa"/>
          <w:right w:w="70" w:type="dxa"/>
        </w:tblCellMar>
        <w:tblLook w:val="04A0" w:firstRow="1" w:lastRow="0" w:firstColumn="1" w:lastColumn="0" w:noHBand="0" w:noVBand="1"/>
      </w:tblPr>
      <w:tblGrid>
        <w:gridCol w:w="1985"/>
        <w:gridCol w:w="1600"/>
        <w:gridCol w:w="2120"/>
      </w:tblGrid>
      <w:tr w:rsidR="00CF727C" w:rsidRPr="00603B75" w:rsidTr="005E32C9">
        <w:trPr>
          <w:trHeight w:val="1290"/>
        </w:trPr>
        <w:tc>
          <w:tcPr>
            <w:tcW w:w="1985" w:type="dxa"/>
            <w:tcBorders>
              <w:top w:val="single" w:sz="4" w:space="0" w:color="auto"/>
              <w:left w:val="nil"/>
              <w:bottom w:val="single" w:sz="4" w:space="0" w:color="auto"/>
              <w:right w:val="nil"/>
            </w:tcBorders>
            <w:shd w:val="clear" w:color="auto" w:fill="auto"/>
            <w:vAlign w:val="center"/>
            <w:hideMark/>
          </w:tcPr>
          <w:p w:rsidR="00CF727C" w:rsidRPr="00603B75" w:rsidRDefault="00CF727C" w:rsidP="005E32C9">
            <w:pPr>
              <w:spacing w:after="0" w:line="240" w:lineRule="auto"/>
              <w:jc w:val="center"/>
              <w:rPr>
                <w:rFonts w:ascii="Calibri" w:eastAsia="Times New Roman" w:hAnsi="Calibri" w:cs="Times New Roman"/>
                <w:b/>
                <w:bCs/>
                <w:color w:val="000000"/>
                <w:sz w:val="20"/>
                <w:szCs w:val="20"/>
                <w:lang w:eastAsia="it-IT"/>
              </w:rPr>
            </w:pPr>
            <w:r w:rsidRPr="00603B75">
              <w:rPr>
                <w:rFonts w:ascii="Calibri" w:eastAsia="Times New Roman" w:hAnsi="Calibri" w:cs="Times New Roman"/>
                <w:b/>
                <w:bCs/>
                <w:color w:val="000000"/>
                <w:sz w:val="20"/>
                <w:szCs w:val="20"/>
                <w:lang w:eastAsia="it-IT"/>
              </w:rPr>
              <w:t>Regione</w:t>
            </w:r>
          </w:p>
        </w:tc>
        <w:tc>
          <w:tcPr>
            <w:tcW w:w="1600" w:type="dxa"/>
            <w:tcBorders>
              <w:top w:val="single" w:sz="4" w:space="0" w:color="auto"/>
              <w:left w:val="nil"/>
              <w:bottom w:val="single" w:sz="4" w:space="0" w:color="auto"/>
              <w:right w:val="nil"/>
            </w:tcBorders>
            <w:shd w:val="clear" w:color="auto" w:fill="auto"/>
            <w:vAlign w:val="center"/>
            <w:hideMark/>
          </w:tcPr>
          <w:p w:rsidR="00CF727C" w:rsidRPr="00603B75" w:rsidRDefault="00CF727C" w:rsidP="005E32C9">
            <w:pPr>
              <w:spacing w:after="0" w:line="240" w:lineRule="auto"/>
              <w:jc w:val="center"/>
              <w:rPr>
                <w:rFonts w:ascii="Calibri" w:eastAsia="Times New Roman" w:hAnsi="Calibri" w:cs="Times New Roman"/>
                <w:b/>
                <w:bCs/>
                <w:color w:val="000000"/>
                <w:sz w:val="20"/>
                <w:szCs w:val="20"/>
                <w:lang w:eastAsia="it-IT"/>
              </w:rPr>
            </w:pPr>
            <w:r w:rsidRPr="00603B75">
              <w:rPr>
                <w:rFonts w:ascii="Calibri" w:eastAsia="Times New Roman" w:hAnsi="Calibri" w:cs="Times New Roman"/>
                <w:b/>
                <w:bCs/>
                <w:color w:val="000000"/>
                <w:sz w:val="20"/>
                <w:szCs w:val="20"/>
                <w:lang w:eastAsia="it-IT"/>
              </w:rPr>
              <w:t>Emissioni nette tCO2eq</w:t>
            </w:r>
          </w:p>
        </w:tc>
        <w:tc>
          <w:tcPr>
            <w:tcW w:w="2120" w:type="dxa"/>
            <w:tcBorders>
              <w:top w:val="single" w:sz="4" w:space="0" w:color="auto"/>
              <w:left w:val="nil"/>
              <w:bottom w:val="single" w:sz="4" w:space="0" w:color="auto"/>
              <w:right w:val="nil"/>
            </w:tcBorders>
            <w:shd w:val="clear" w:color="auto" w:fill="auto"/>
            <w:vAlign w:val="center"/>
            <w:hideMark/>
          </w:tcPr>
          <w:p w:rsidR="00CF727C" w:rsidRPr="00603B75" w:rsidRDefault="00CF727C" w:rsidP="005E32C9">
            <w:pPr>
              <w:spacing w:after="0" w:line="240" w:lineRule="auto"/>
              <w:jc w:val="center"/>
              <w:rPr>
                <w:rFonts w:ascii="Calibri" w:eastAsia="Times New Roman" w:hAnsi="Calibri" w:cs="Times New Roman"/>
                <w:b/>
                <w:bCs/>
                <w:color w:val="000000"/>
                <w:sz w:val="20"/>
                <w:szCs w:val="20"/>
                <w:lang w:eastAsia="it-IT"/>
              </w:rPr>
            </w:pPr>
            <w:r w:rsidRPr="00603B75">
              <w:rPr>
                <w:rFonts w:ascii="Calibri" w:eastAsia="Times New Roman" w:hAnsi="Calibri" w:cs="Times New Roman"/>
                <w:b/>
                <w:bCs/>
                <w:color w:val="000000"/>
                <w:sz w:val="20"/>
                <w:szCs w:val="20"/>
                <w:lang w:eastAsia="it-IT"/>
              </w:rPr>
              <w:t>Emissioni nette           tCO2eq/t avviata a riciclo</w:t>
            </w:r>
          </w:p>
        </w:tc>
      </w:tr>
      <w:tr w:rsidR="00CF727C" w:rsidRPr="00603B75" w:rsidTr="005E32C9">
        <w:trPr>
          <w:trHeight w:val="300"/>
        </w:trPr>
        <w:tc>
          <w:tcPr>
            <w:tcW w:w="1985" w:type="dxa"/>
            <w:tcBorders>
              <w:top w:val="nil"/>
              <w:left w:val="nil"/>
              <w:bottom w:val="nil"/>
              <w:right w:val="nil"/>
            </w:tcBorders>
            <w:shd w:val="clear" w:color="auto" w:fill="auto"/>
            <w:noWrap/>
            <w:vAlign w:val="bottom"/>
            <w:hideMark/>
          </w:tcPr>
          <w:p w:rsidR="00CF727C" w:rsidRPr="00603B75" w:rsidRDefault="00CF727C" w:rsidP="005E32C9">
            <w:pPr>
              <w:spacing w:after="0" w:line="240" w:lineRule="auto"/>
              <w:rPr>
                <w:rFonts w:ascii="Calibri" w:eastAsia="Times New Roman" w:hAnsi="Calibri" w:cs="Times New Roman"/>
                <w:color w:val="000000"/>
                <w:sz w:val="20"/>
                <w:szCs w:val="20"/>
                <w:lang w:eastAsia="it-IT"/>
              </w:rPr>
            </w:pPr>
            <w:r w:rsidRPr="00603B75">
              <w:rPr>
                <w:rFonts w:ascii="Calibri" w:eastAsia="Times New Roman" w:hAnsi="Calibri" w:cs="Times New Roman"/>
                <w:color w:val="000000"/>
                <w:sz w:val="20"/>
                <w:szCs w:val="20"/>
                <w:lang w:eastAsia="it-IT"/>
              </w:rPr>
              <w:t>Piemonte</w:t>
            </w:r>
          </w:p>
        </w:tc>
        <w:tc>
          <w:tcPr>
            <w:tcW w:w="1600" w:type="dxa"/>
            <w:tcBorders>
              <w:top w:val="nil"/>
              <w:left w:val="nil"/>
              <w:bottom w:val="nil"/>
              <w:right w:val="nil"/>
            </w:tcBorders>
            <w:shd w:val="clear" w:color="auto" w:fill="DBDBDB" w:themeFill="accent3" w:themeFillTint="66"/>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-175.801</w:t>
            </w:r>
          </w:p>
        </w:tc>
        <w:tc>
          <w:tcPr>
            <w:tcW w:w="2120" w:type="dxa"/>
            <w:tcBorders>
              <w:top w:val="nil"/>
              <w:left w:val="nil"/>
              <w:bottom w:val="nil"/>
              <w:right w:val="nil"/>
            </w:tcBorders>
            <w:shd w:val="clear" w:color="auto" w:fill="DBDBDB" w:themeFill="accent3" w:themeFillTint="66"/>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-0,193</w:t>
            </w:r>
          </w:p>
        </w:tc>
      </w:tr>
      <w:tr w:rsidR="00CF727C" w:rsidRPr="00603B75" w:rsidTr="005E32C9">
        <w:trPr>
          <w:trHeight w:val="300"/>
        </w:trPr>
        <w:tc>
          <w:tcPr>
            <w:tcW w:w="1985" w:type="dxa"/>
            <w:tcBorders>
              <w:top w:val="nil"/>
              <w:left w:val="nil"/>
              <w:bottom w:val="nil"/>
              <w:right w:val="nil"/>
            </w:tcBorders>
            <w:shd w:val="clear" w:color="auto" w:fill="auto"/>
            <w:noWrap/>
            <w:vAlign w:val="bottom"/>
            <w:hideMark/>
          </w:tcPr>
          <w:p w:rsidR="00CF727C" w:rsidRPr="00603B75" w:rsidRDefault="00CF727C" w:rsidP="005E32C9">
            <w:pPr>
              <w:spacing w:after="0" w:line="240" w:lineRule="auto"/>
              <w:rPr>
                <w:rFonts w:ascii="Calibri" w:eastAsia="Times New Roman" w:hAnsi="Calibri" w:cs="Times New Roman"/>
                <w:color w:val="000000"/>
                <w:sz w:val="20"/>
                <w:szCs w:val="20"/>
                <w:lang w:eastAsia="it-IT"/>
              </w:rPr>
            </w:pPr>
            <w:r w:rsidRPr="00603B75">
              <w:rPr>
                <w:rFonts w:ascii="Calibri" w:eastAsia="Times New Roman" w:hAnsi="Calibri" w:cs="Times New Roman"/>
                <w:color w:val="000000"/>
                <w:sz w:val="20"/>
                <w:szCs w:val="20"/>
                <w:lang w:eastAsia="it-IT"/>
              </w:rPr>
              <w:t>Valle d'Aosta</w:t>
            </w:r>
          </w:p>
        </w:tc>
        <w:tc>
          <w:tcPr>
            <w:tcW w:w="160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-7.219</w:t>
            </w:r>
          </w:p>
        </w:tc>
        <w:tc>
          <w:tcPr>
            <w:tcW w:w="212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-0,256</w:t>
            </w:r>
          </w:p>
        </w:tc>
      </w:tr>
      <w:tr w:rsidR="00CF727C" w:rsidRPr="00603B75" w:rsidTr="005E32C9">
        <w:trPr>
          <w:trHeight w:val="300"/>
        </w:trPr>
        <w:tc>
          <w:tcPr>
            <w:tcW w:w="1985" w:type="dxa"/>
            <w:tcBorders>
              <w:top w:val="nil"/>
              <w:left w:val="nil"/>
              <w:bottom w:val="nil"/>
              <w:right w:val="nil"/>
            </w:tcBorders>
            <w:shd w:val="clear" w:color="auto" w:fill="auto"/>
            <w:noWrap/>
            <w:vAlign w:val="bottom"/>
            <w:hideMark/>
          </w:tcPr>
          <w:p w:rsidR="00CF727C" w:rsidRPr="00603B75" w:rsidRDefault="00CF727C" w:rsidP="005E32C9">
            <w:pPr>
              <w:spacing w:after="0" w:line="240" w:lineRule="auto"/>
              <w:rPr>
                <w:rFonts w:ascii="Calibri" w:eastAsia="Times New Roman" w:hAnsi="Calibri" w:cs="Times New Roman"/>
                <w:color w:val="000000"/>
                <w:sz w:val="20"/>
                <w:szCs w:val="20"/>
                <w:lang w:eastAsia="it-IT"/>
              </w:rPr>
            </w:pPr>
            <w:r w:rsidRPr="00603B75">
              <w:rPr>
                <w:rFonts w:ascii="Calibri" w:eastAsia="Times New Roman" w:hAnsi="Calibri" w:cs="Times New Roman"/>
                <w:color w:val="000000"/>
                <w:sz w:val="20"/>
                <w:szCs w:val="20"/>
                <w:lang w:eastAsia="it-IT"/>
              </w:rPr>
              <w:t>Lombardia</w:t>
            </w:r>
          </w:p>
        </w:tc>
        <w:tc>
          <w:tcPr>
            <w:tcW w:w="1600" w:type="dxa"/>
            <w:tcBorders>
              <w:top w:val="nil"/>
              <w:left w:val="nil"/>
              <w:bottom w:val="nil"/>
              <w:right w:val="nil"/>
            </w:tcBorders>
            <w:shd w:val="clear" w:color="auto" w:fill="DBDBDB" w:themeFill="accent3" w:themeFillTint="66"/>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-417.698</w:t>
            </w:r>
          </w:p>
        </w:tc>
        <w:tc>
          <w:tcPr>
            <w:tcW w:w="2120" w:type="dxa"/>
            <w:tcBorders>
              <w:top w:val="nil"/>
              <w:left w:val="nil"/>
              <w:bottom w:val="nil"/>
              <w:right w:val="nil"/>
            </w:tcBorders>
            <w:shd w:val="clear" w:color="auto" w:fill="DBDBDB" w:themeFill="accent3" w:themeFillTint="66"/>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-0,188</w:t>
            </w:r>
          </w:p>
        </w:tc>
      </w:tr>
      <w:tr w:rsidR="00CF727C" w:rsidRPr="00603B75" w:rsidTr="005E32C9">
        <w:trPr>
          <w:trHeight w:val="300"/>
        </w:trPr>
        <w:tc>
          <w:tcPr>
            <w:tcW w:w="1985" w:type="dxa"/>
            <w:tcBorders>
              <w:top w:val="nil"/>
              <w:left w:val="nil"/>
              <w:bottom w:val="nil"/>
              <w:right w:val="nil"/>
            </w:tcBorders>
            <w:shd w:val="clear" w:color="auto" w:fill="auto"/>
            <w:noWrap/>
            <w:vAlign w:val="bottom"/>
            <w:hideMark/>
          </w:tcPr>
          <w:p w:rsidR="00CF727C" w:rsidRPr="00603B75" w:rsidRDefault="00CF727C" w:rsidP="005E32C9">
            <w:pPr>
              <w:spacing w:after="0" w:line="240" w:lineRule="auto"/>
              <w:rPr>
                <w:rFonts w:ascii="Calibri" w:eastAsia="Times New Roman" w:hAnsi="Calibri" w:cs="Times New Roman"/>
                <w:color w:val="000000"/>
                <w:sz w:val="20"/>
                <w:szCs w:val="20"/>
                <w:lang w:eastAsia="it-IT"/>
              </w:rPr>
            </w:pPr>
            <w:r w:rsidRPr="00603B75">
              <w:rPr>
                <w:rFonts w:ascii="Calibri" w:eastAsia="Times New Roman" w:hAnsi="Calibri" w:cs="Times New Roman"/>
                <w:color w:val="000000"/>
                <w:sz w:val="20"/>
                <w:szCs w:val="20"/>
                <w:lang w:eastAsia="it-IT"/>
              </w:rPr>
              <w:t>Trentino</w:t>
            </w:r>
            <w:r>
              <w:rPr>
                <w:rFonts w:ascii="Calibri" w:eastAsia="Times New Roman" w:hAnsi="Calibri" w:cs="Times New Roman"/>
                <w:color w:val="000000"/>
                <w:sz w:val="20"/>
                <w:szCs w:val="20"/>
                <w:lang w:eastAsia="it-IT"/>
              </w:rPr>
              <w:t xml:space="preserve"> Alto Adige</w:t>
            </w:r>
          </w:p>
        </w:tc>
        <w:tc>
          <w:tcPr>
            <w:tcW w:w="1600" w:type="dxa"/>
            <w:tcBorders>
              <w:top w:val="nil"/>
              <w:left w:val="nil"/>
              <w:bottom w:val="nil"/>
              <w:right w:val="nil"/>
            </w:tcBorders>
            <w:shd w:val="clear" w:color="auto" w:fill="DBDBDB" w:themeFill="accent3" w:themeFillTint="66"/>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-49.955</w:t>
            </w:r>
          </w:p>
        </w:tc>
        <w:tc>
          <w:tcPr>
            <w:tcW w:w="2120" w:type="dxa"/>
            <w:tcBorders>
              <w:top w:val="nil"/>
              <w:left w:val="nil"/>
              <w:bottom w:val="nil"/>
              <w:right w:val="nil"/>
            </w:tcBorders>
            <w:shd w:val="clear" w:color="auto" w:fill="DBDBDB" w:themeFill="accent3" w:themeFillTint="66"/>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-0,232</w:t>
            </w:r>
          </w:p>
        </w:tc>
      </w:tr>
      <w:tr w:rsidR="00CF727C" w:rsidRPr="00603B75" w:rsidTr="005E32C9">
        <w:trPr>
          <w:trHeight w:val="300"/>
        </w:trPr>
        <w:tc>
          <w:tcPr>
            <w:tcW w:w="1985" w:type="dxa"/>
            <w:tcBorders>
              <w:top w:val="nil"/>
              <w:left w:val="nil"/>
              <w:bottom w:val="nil"/>
              <w:right w:val="nil"/>
            </w:tcBorders>
            <w:shd w:val="clear" w:color="auto" w:fill="auto"/>
            <w:noWrap/>
            <w:vAlign w:val="bottom"/>
            <w:hideMark/>
          </w:tcPr>
          <w:p w:rsidR="00CF727C" w:rsidRPr="00603B75" w:rsidRDefault="00CF727C" w:rsidP="005E32C9">
            <w:pPr>
              <w:spacing w:after="0" w:line="240" w:lineRule="auto"/>
              <w:rPr>
                <w:rFonts w:ascii="Calibri" w:eastAsia="Times New Roman" w:hAnsi="Calibri" w:cs="Times New Roman"/>
                <w:color w:val="000000"/>
                <w:sz w:val="20"/>
                <w:szCs w:val="20"/>
                <w:lang w:eastAsia="it-IT"/>
              </w:rPr>
            </w:pPr>
            <w:r w:rsidRPr="00603B75">
              <w:rPr>
                <w:rFonts w:ascii="Calibri" w:eastAsia="Times New Roman" w:hAnsi="Calibri" w:cs="Times New Roman"/>
                <w:color w:val="000000"/>
                <w:sz w:val="20"/>
                <w:szCs w:val="20"/>
                <w:lang w:eastAsia="it-IT"/>
              </w:rPr>
              <w:t>Veneto</w:t>
            </w:r>
          </w:p>
        </w:tc>
        <w:tc>
          <w:tcPr>
            <w:tcW w:w="1600" w:type="dxa"/>
            <w:tcBorders>
              <w:top w:val="nil"/>
              <w:left w:val="nil"/>
              <w:bottom w:val="nil"/>
              <w:right w:val="nil"/>
            </w:tcBorders>
            <w:shd w:val="clear" w:color="auto" w:fill="DBDBDB" w:themeFill="accent3" w:themeFillTint="66"/>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-139.502</w:t>
            </w:r>
          </w:p>
        </w:tc>
        <w:tc>
          <w:tcPr>
            <w:tcW w:w="2120" w:type="dxa"/>
            <w:tcBorders>
              <w:top w:val="nil"/>
              <w:left w:val="nil"/>
              <w:bottom w:val="nil"/>
              <w:right w:val="nil"/>
            </w:tcBorders>
            <w:shd w:val="clear" w:color="auto" w:fill="DBDBDB" w:themeFill="accent3" w:themeFillTint="66"/>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-0,208</w:t>
            </w:r>
          </w:p>
        </w:tc>
      </w:tr>
      <w:tr w:rsidR="00CF727C" w:rsidRPr="00603B75" w:rsidTr="005E32C9">
        <w:trPr>
          <w:trHeight w:val="300"/>
        </w:trPr>
        <w:tc>
          <w:tcPr>
            <w:tcW w:w="1985" w:type="dxa"/>
            <w:tcBorders>
              <w:top w:val="nil"/>
              <w:left w:val="nil"/>
              <w:bottom w:val="nil"/>
              <w:right w:val="nil"/>
            </w:tcBorders>
            <w:shd w:val="clear" w:color="auto" w:fill="auto"/>
            <w:noWrap/>
            <w:vAlign w:val="bottom"/>
            <w:hideMark/>
          </w:tcPr>
          <w:p w:rsidR="00CF727C" w:rsidRPr="00603B75" w:rsidRDefault="00CF727C" w:rsidP="005E32C9">
            <w:pPr>
              <w:spacing w:after="0" w:line="240" w:lineRule="auto"/>
              <w:rPr>
                <w:rFonts w:ascii="Calibri" w:eastAsia="Times New Roman" w:hAnsi="Calibri" w:cs="Times New Roman"/>
                <w:color w:val="000000"/>
                <w:sz w:val="20"/>
                <w:szCs w:val="20"/>
                <w:lang w:eastAsia="it-IT"/>
              </w:rPr>
            </w:pPr>
            <w:r w:rsidRPr="00603B75">
              <w:rPr>
                <w:rFonts w:ascii="Calibri" w:eastAsia="Times New Roman" w:hAnsi="Calibri" w:cs="Times New Roman"/>
                <w:color w:val="000000"/>
                <w:sz w:val="20"/>
                <w:szCs w:val="20"/>
                <w:lang w:eastAsia="it-IT"/>
              </w:rPr>
              <w:t>Friuli</w:t>
            </w:r>
            <w:r>
              <w:rPr>
                <w:rFonts w:ascii="Calibri" w:eastAsia="Times New Roman" w:hAnsi="Calibri" w:cs="Times New Roman"/>
                <w:color w:val="000000"/>
                <w:sz w:val="20"/>
                <w:szCs w:val="20"/>
                <w:lang w:eastAsia="it-IT"/>
              </w:rPr>
              <w:t xml:space="preserve"> Venezia Giulia</w:t>
            </w:r>
          </w:p>
        </w:tc>
        <w:tc>
          <w:tcPr>
            <w:tcW w:w="1600" w:type="dxa"/>
            <w:tcBorders>
              <w:top w:val="nil"/>
              <w:left w:val="nil"/>
              <w:bottom w:val="nil"/>
              <w:right w:val="nil"/>
            </w:tcBorders>
            <w:shd w:val="clear" w:color="auto" w:fill="DBDBDB" w:themeFill="accent3" w:themeFillTint="66"/>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-27.196</w:t>
            </w:r>
          </w:p>
        </w:tc>
        <w:tc>
          <w:tcPr>
            <w:tcW w:w="2120" w:type="dxa"/>
            <w:tcBorders>
              <w:top w:val="nil"/>
              <w:left w:val="nil"/>
              <w:bottom w:val="nil"/>
              <w:right w:val="nil"/>
            </w:tcBorders>
            <w:shd w:val="clear" w:color="auto" w:fill="DBDBDB" w:themeFill="accent3" w:themeFillTint="66"/>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-0,195</w:t>
            </w:r>
          </w:p>
        </w:tc>
      </w:tr>
      <w:tr w:rsidR="00CF727C" w:rsidRPr="00603B75" w:rsidTr="005E32C9">
        <w:trPr>
          <w:trHeight w:val="300"/>
        </w:trPr>
        <w:tc>
          <w:tcPr>
            <w:tcW w:w="1985" w:type="dxa"/>
            <w:tcBorders>
              <w:top w:val="nil"/>
              <w:left w:val="nil"/>
              <w:bottom w:val="nil"/>
              <w:right w:val="nil"/>
            </w:tcBorders>
            <w:shd w:val="clear" w:color="auto" w:fill="auto"/>
            <w:noWrap/>
            <w:vAlign w:val="bottom"/>
            <w:hideMark/>
          </w:tcPr>
          <w:p w:rsidR="00CF727C" w:rsidRPr="00603B75" w:rsidRDefault="00CF727C" w:rsidP="005E32C9">
            <w:pPr>
              <w:spacing w:after="0" w:line="240" w:lineRule="auto"/>
              <w:rPr>
                <w:rFonts w:ascii="Calibri" w:eastAsia="Times New Roman" w:hAnsi="Calibri" w:cs="Times New Roman"/>
                <w:color w:val="000000"/>
                <w:sz w:val="20"/>
                <w:szCs w:val="20"/>
                <w:lang w:eastAsia="it-IT"/>
              </w:rPr>
            </w:pPr>
            <w:r w:rsidRPr="00603B75">
              <w:rPr>
                <w:rFonts w:ascii="Calibri" w:eastAsia="Times New Roman" w:hAnsi="Calibri" w:cs="Times New Roman"/>
                <w:color w:val="000000"/>
                <w:sz w:val="20"/>
                <w:szCs w:val="20"/>
                <w:lang w:eastAsia="it-IT"/>
              </w:rPr>
              <w:lastRenderedPageBreak/>
              <w:t>Liguria</w:t>
            </w:r>
          </w:p>
        </w:tc>
        <w:tc>
          <w:tcPr>
            <w:tcW w:w="160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-53.669</w:t>
            </w:r>
          </w:p>
        </w:tc>
        <w:tc>
          <w:tcPr>
            <w:tcW w:w="212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-0,218</w:t>
            </w:r>
          </w:p>
        </w:tc>
      </w:tr>
      <w:tr w:rsidR="00CF727C" w:rsidRPr="00603B75" w:rsidTr="005E32C9">
        <w:trPr>
          <w:trHeight w:val="300"/>
        </w:trPr>
        <w:tc>
          <w:tcPr>
            <w:tcW w:w="1985" w:type="dxa"/>
            <w:tcBorders>
              <w:top w:val="nil"/>
              <w:left w:val="nil"/>
              <w:bottom w:val="nil"/>
              <w:right w:val="nil"/>
            </w:tcBorders>
            <w:shd w:val="clear" w:color="auto" w:fill="auto"/>
            <w:noWrap/>
            <w:vAlign w:val="bottom"/>
            <w:hideMark/>
          </w:tcPr>
          <w:p w:rsidR="00CF727C" w:rsidRPr="00603B75" w:rsidRDefault="00CF727C" w:rsidP="005E32C9">
            <w:pPr>
              <w:spacing w:after="0" w:line="240" w:lineRule="auto"/>
              <w:rPr>
                <w:rFonts w:ascii="Calibri" w:eastAsia="Times New Roman" w:hAnsi="Calibri" w:cs="Times New Roman"/>
                <w:color w:val="000000"/>
                <w:sz w:val="20"/>
                <w:szCs w:val="20"/>
                <w:lang w:eastAsia="it-IT"/>
              </w:rPr>
            </w:pPr>
            <w:r w:rsidRPr="00603B75">
              <w:rPr>
                <w:rFonts w:ascii="Calibri" w:eastAsia="Times New Roman" w:hAnsi="Calibri" w:cs="Times New Roman"/>
                <w:color w:val="000000"/>
                <w:sz w:val="20"/>
                <w:szCs w:val="20"/>
                <w:lang w:eastAsia="it-IT"/>
              </w:rPr>
              <w:t>Emilia Romagna</w:t>
            </w:r>
          </w:p>
        </w:tc>
        <w:tc>
          <w:tcPr>
            <w:tcW w:w="1600" w:type="dxa"/>
            <w:tcBorders>
              <w:top w:val="nil"/>
              <w:left w:val="nil"/>
              <w:bottom w:val="nil"/>
              <w:right w:val="nil"/>
            </w:tcBorders>
            <w:shd w:val="clear" w:color="auto" w:fill="DBDBDB" w:themeFill="accent3" w:themeFillTint="66"/>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-171.301</w:t>
            </w:r>
          </w:p>
        </w:tc>
        <w:tc>
          <w:tcPr>
            <w:tcW w:w="2120" w:type="dxa"/>
            <w:tcBorders>
              <w:top w:val="nil"/>
              <w:left w:val="nil"/>
              <w:bottom w:val="nil"/>
              <w:right w:val="nil"/>
            </w:tcBorders>
            <w:shd w:val="clear" w:color="auto" w:fill="DBDBDB" w:themeFill="accent3" w:themeFillTint="66"/>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-0,152</w:t>
            </w:r>
          </w:p>
        </w:tc>
      </w:tr>
      <w:tr w:rsidR="00CF727C" w:rsidRPr="00603B75" w:rsidTr="005E32C9">
        <w:trPr>
          <w:trHeight w:val="300"/>
        </w:trPr>
        <w:tc>
          <w:tcPr>
            <w:tcW w:w="1985" w:type="dxa"/>
            <w:tcBorders>
              <w:top w:val="nil"/>
              <w:left w:val="nil"/>
              <w:bottom w:val="nil"/>
              <w:right w:val="nil"/>
            </w:tcBorders>
            <w:shd w:val="clear" w:color="auto" w:fill="auto"/>
            <w:noWrap/>
            <w:vAlign w:val="bottom"/>
            <w:hideMark/>
          </w:tcPr>
          <w:p w:rsidR="00CF727C" w:rsidRPr="00603B75" w:rsidRDefault="00CF727C" w:rsidP="005E32C9">
            <w:pPr>
              <w:spacing w:after="0" w:line="240" w:lineRule="auto"/>
              <w:rPr>
                <w:rFonts w:ascii="Calibri" w:eastAsia="Times New Roman" w:hAnsi="Calibri" w:cs="Times New Roman"/>
                <w:color w:val="000000"/>
                <w:sz w:val="20"/>
                <w:szCs w:val="20"/>
                <w:lang w:eastAsia="it-IT"/>
              </w:rPr>
            </w:pPr>
            <w:r w:rsidRPr="00603B75">
              <w:rPr>
                <w:rFonts w:ascii="Calibri" w:eastAsia="Times New Roman" w:hAnsi="Calibri" w:cs="Times New Roman"/>
                <w:color w:val="000000"/>
                <w:sz w:val="20"/>
                <w:szCs w:val="20"/>
                <w:lang w:eastAsia="it-IT"/>
              </w:rPr>
              <w:t>Toscana</w:t>
            </w:r>
          </w:p>
        </w:tc>
        <w:tc>
          <w:tcPr>
            <w:tcW w:w="160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-146.626</w:t>
            </w:r>
          </w:p>
        </w:tc>
        <w:tc>
          <w:tcPr>
            <w:tcW w:w="212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-0,220</w:t>
            </w:r>
          </w:p>
        </w:tc>
      </w:tr>
      <w:tr w:rsidR="00CF727C" w:rsidRPr="00603B75" w:rsidTr="005E32C9">
        <w:trPr>
          <w:trHeight w:val="300"/>
        </w:trPr>
        <w:tc>
          <w:tcPr>
            <w:tcW w:w="1985" w:type="dxa"/>
            <w:tcBorders>
              <w:top w:val="nil"/>
              <w:left w:val="nil"/>
              <w:bottom w:val="nil"/>
              <w:right w:val="nil"/>
            </w:tcBorders>
            <w:shd w:val="clear" w:color="auto" w:fill="auto"/>
            <w:noWrap/>
            <w:vAlign w:val="bottom"/>
            <w:hideMark/>
          </w:tcPr>
          <w:p w:rsidR="00CF727C" w:rsidRPr="00603B75" w:rsidRDefault="00CF727C" w:rsidP="005E32C9">
            <w:pPr>
              <w:spacing w:after="0" w:line="240" w:lineRule="auto"/>
              <w:rPr>
                <w:rFonts w:ascii="Calibri" w:eastAsia="Times New Roman" w:hAnsi="Calibri" w:cs="Times New Roman"/>
                <w:color w:val="000000"/>
                <w:sz w:val="20"/>
                <w:szCs w:val="20"/>
                <w:lang w:eastAsia="it-IT"/>
              </w:rPr>
            </w:pPr>
            <w:r w:rsidRPr="00603B75">
              <w:rPr>
                <w:rFonts w:ascii="Calibri" w:eastAsia="Times New Roman" w:hAnsi="Calibri" w:cs="Times New Roman"/>
                <w:color w:val="000000"/>
                <w:sz w:val="20"/>
                <w:szCs w:val="20"/>
                <w:lang w:eastAsia="it-IT"/>
              </w:rPr>
              <w:t>Umbria</w:t>
            </w:r>
          </w:p>
        </w:tc>
        <w:tc>
          <w:tcPr>
            <w:tcW w:w="160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-30.820</w:t>
            </w:r>
          </w:p>
        </w:tc>
        <w:tc>
          <w:tcPr>
            <w:tcW w:w="212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-0,200</w:t>
            </w:r>
          </w:p>
        </w:tc>
      </w:tr>
      <w:tr w:rsidR="00CF727C" w:rsidRPr="00603B75" w:rsidTr="005E32C9">
        <w:trPr>
          <w:trHeight w:val="300"/>
        </w:trPr>
        <w:tc>
          <w:tcPr>
            <w:tcW w:w="1985" w:type="dxa"/>
            <w:tcBorders>
              <w:top w:val="nil"/>
              <w:left w:val="nil"/>
              <w:bottom w:val="nil"/>
              <w:right w:val="nil"/>
            </w:tcBorders>
            <w:shd w:val="clear" w:color="auto" w:fill="auto"/>
            <w:noWrap/>
            <w:vAlign w:val="bottom"/>
            <w:hideMark/>
          </w:tcPr>
          <w:p w:rsidR="00CF727C" w:rsidRPr="00603B75" w:rsidRDefault="00CF727C" w:rsidP="005E32C9">
            <w:pPr>
              <w:spacing w:after="0" w:line="240" w:lineRule="auto"/>
              <w:rPr>
                <w:rFonts w:ascii="Calibri" w:eastAsia="Times New Roman" w:hAnsi="Calibri" w:cs="Times New Roman"/>
                <w:color w:val="000000"/>
                <w:sz w:val="20"/>
                <w:szCs w:val="20"/>
                <w:lang w:eastAsia="it-IT"/>
              </w:rPr>
            </w:pPr>
            <w:r w:rsidRPr="00603B75">
              <w:rPr>
                <w:rFonts w:ascii="Calibri" w:eastAsia="Times New Roman" w:hAnsi="Calibri" w:cs="Times New Roman"/>
                <w:color w:val="000000"/>
                <w:sz w:val="20"/>
                <w:szCs w:val="20"/>
                <w:lang w:eastAsia="it-IT"/>
              </w:rPr>
              <w:t>Marche</w:t>
            </w:r>
          </w:p>
        </w:tc>
        <w:tc>
          <w:tcPr>
            <w:tcW w:w="1600" w:type="dxa"/>
            <w:tcBorders>
              <w:top w:val="nil"/>
              <w:left w:val="nil"/>
              <w:bottom w:val="nil"/>
              <w:right w:val="nil"/>
            </w:tcBorders>
            <w:shd w:val="clear" w:color="auto" w:fill="DBDBDB" w:themeFill="accent3" w:themeFillTint="66"/>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-55.174</w:t>
            </w:r>
          </w:p>
        </w:tc>
        <w:tc>
          <w:tcPr>
            <w:tcW w:w="2120" w:type="dxa"/>
            <w:tcBorders>
              <w:top w:val="nil"/>
              <w:left w:val="nil"/>
              <w:bottom w:val="nil"/>
              <w:right w:val="nil"/>
            </w:tcBorders>
            <w:shd w:val="clear" w:color="auto" w:fill="DBDBDB" w:themeFill="accent3" w:themeFillTint="66"/>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-0,158</w:t>
            </w:r>
          </w:p>
        </w:tc>
      </w:tr>
      <w:tr w:rsidR="00CF727C" w:rsidRPr="00603B75" w:rsidTr="005E32C9">
        <w:trPr>
          <w:trHeight w:val="300"/>
        </w:trPr>
        <w:tc>
          <w:tcPr>
            <w:tcW w:w="1985" w:type="dxa"/>
            <w:tcBorders>
              <w:top w:val="nil"/>
              <w:left w:val="nil"/>
              <w:bottom w:val="nil"/>
              <w:right w:val="nil"/>
            </w:tcBorders>
            <w:shd w:val="clear" w:color="auto" w:fill="auto"/>
            <w:noWrap/>
            <w:vAlign w:val="bottom"/>
            <w:hideMark/>
          </w:tcPr>
          <w:p w:rsidR="00CF727C" w:rsidRPr="00603B75" w:rsidRDefault="00CF727C" w:rsidP="005E32C9">
            <w:pPr>
              <w:spacing w:after="0" w:line="240" w:lineRule="auto"/>
              <w:rPr>
                <w:rFonts w:ascii="Calibri" w:eastAsia="Times New Roman" w:hAnsi="Calibri" w:cs="Times New Roman"/>
                <w:color w:val="000000"/>
                <w:sz w:val="20"/>
                <w:szCs w:val="20"/>
                <w:lang w:eastAsia="it-IT"/>
              </w:rPr>
            </w:pPr>
            <w:r w:rsidRPr="00603B75">
              <w:rPr>
                <w:rFonts w:ascii="Calibri" w:eastAsia="Times New Roman" w:hAnsi="Calibri" w:cs="Times New Roman"/>
                <w:color w:val="000000"/>
                <w:sz w:val="20"/>
                <w:szCs w:val="20"/>
                <w:lang w:eastAsia="it-IT"/>
              </w:rPr>
              <w:t>Lazio</w:t>
            </w:r>
          </w:p>
        </w:tc>
        <w:tc>
          <w:tcPr>
            <w:tcW w:w="160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-146.433</w:t>
            </w:r>
          </w:p>
        </w:tc>
        <w:tc>
          <w:tcPr>
            <w:tcW w:w="212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-0,215</w:t>
            </w:r>
          </w:p>
        </w:tc>
      </w:tr>
      <w:tr w:rsidR="00CF727C" w:rsidRPr="00603B75" w:rsidTr="005E32C9">
        <w:trPr>
          <w:trHeight w:val="315"/>
        </w:trPr>
        <w:tc>
          <w:tcPr>
            <w:tcW w:w="1985" w:type="dxa"/>
            <w:tcBorders>
              <w:top w:val="nil"/>
              <w:left w:val="nil"/>
              <w:bottom w:val="nil"/>
              <w:right w:val="nil"/>
            </w:tcBorders>
            <w:shd w:val="clear" w:color="auto" w:fill="auto"/>
            <w:noWrap/>
            <w:vAlign w:val="bottom"/>
            <w:hideMark/>
          </w:tcPr>
          <w:p w:rsidR="00CF727C" w:rsidRPr="00603B75" w:rsidRDefault="00CF727C" w:rsidP="005E32C9">
            <w:pPr>
              <w:spacing w:after="0" w:line="240" w:lineRule="auto"/>
              <w:rPr>
                <w:rFonts w:ascii="Calibri" w:eastAsia="Times New Roman" w:hAnsi="Calibri" w:cs="Times New Roman"/>
                <w:color w:val="000000"/>
                <w:sz w:val="20"/>
                <w:szCs w:val="20"/>
                <w:lang w:eastAsia="it-IT"/>
              </w:rPr>
            </w:pPr>
            <w:r w:rsidRPr="00603B75">
              <w:rPr>
                <w:rFonts w:ascii="Calibri" w:eastAsia="Times New Roman" w:hAnsi="Calibri" w:cs="Times New Roman"/>
                <w:color w:val="000000"/>
                <w:sz w:val="20"/>
                <w:szCs w:val="20"/>
                <w:lang w:eastAsia="it-IT"/>
              </w:rPr>
              <w:t>Abruzzo</w:t>
            </w:r>
          </w:p>
        </w:tc>
        <w:tc>
          <w:tcPr>
            <w:tcW w:w="160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-17.653</w:t>
            </w:r>
          </w:p>
        </w:tc>
        <w:tc>
          <w:tcPr>
            <w:tcW w:w="212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-0,150</w:t>
            </w:r>
          </w:p>
        </w:tc>
      </w:tr>
      <w:tr w:rsidR="00CF727C" w:rsidRPr="00603B75" w:rsidTr="005E32C9">
        <w:trPr>
          <w:trHeight w:val="300"/>
        </w:trPr>
        <w:tc>
          <w:tcPr>
            <w:tcW w:w="1985" w:type="dxa"/>
            <w:tcBorders>
              <w:top w:val="nil"/>
              <w:left w:val="nil"/>
              <w:bottom w:val="nil"/>
              <w:right w:val="nil"/>
            </w:tcBorders>
            <w:shd w:val="clear" w:color="auto" w:fill="auto"/>
            <w:noWrap/>
            <w:vAlign w:val="bottom"/>
            <w:hideMark/>
          </w:tcPr>
          <w:p w:rsidR="00CF727C" w:rsidRPr="00603B75" w:rsidRDefault="00CF727C" w:rsidP="005E32C9">
            <w:pPr>
              <w:spacing w:after="0" w:line="240" w:lineRule="auto"/>
              <w:rPr>
                <w:rFonts w:ascii="Calibri" w:eastAsia="Times New Roman" w:hAnsi="Calibri" w:cs="Times New Roman"/>
                <w:color w:val="000000"/>
                <w:sz w:val="20"/>
                <w:szCs w:val="20"/>
                <w:lang w:eastAsia="it-IT"/>
              </w:rPr>
            </w:pPr>
            <w:r w:rsidRPr="00603B75">
              <w:rPr>
                <w:rFonts w:ascii="Calibri" w:eastAsia="Times New Roman" w:hAnsi="Calibri" w:cs="Times New Roman"/>
                <w:color w:val="000000"/>
                <w:sz w:val="20"/>
                <w:szCs w:val="20"/>
                <w:lang w:eastAsia="it-IT"/>
              </w:rPr>
              <w:t>Molise</w:t>
            </w:r>
          </w:p>
        </w:tc>
        <w:tc>
          <w:tcPr>
            <w:tcW w:w="160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-2.711</w:t>
            </w:r>
          </w:p>
        </w:tc>
        <w:tc>
          <w:tcPr>
            <w:tcW w:w="212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-0,151</w:t>
            </w:r>
          </w:p>
        </w:tc>
      </w:tr>
      <w:tr w:rsidR="00CF727C" w:rsidRPr="00603B75" w:rsidTr="005E32C9">
        <w:trPr>
          <w:trHeight w:val="300"/>
        </w:trPr>
        <w:tc>
          <w:tcPr>
            <w:tcW w:w="1985" w:type="dxa"/>
            <w:tcBorders>
              <w:top w:val="nil"/>
              <w:left w:val="nil"/>
              <w:bottom w:val="nil"/>
              <w:right w:val="nil"/>
            </w:tcBorders>
            <w:shd w:val="clear" w:color="auto" w:fill="auto"/>
            <w:noWrap/>
            <w:vAlign w:val="bottom"/>
            <w:hideMark/>
          </w:tcPr>
          <w:p w:rsidR="00CF727C" w:rsidRPr="00603B75" w:rsidRDefault="00CF727C" w:rsidP="005E32C9">
            <w:pPr>
              <w:spacing w:after="0" w:line="240" w:lineRule="auto"/>
              <w:rPr>
                <w:rFonts w:ascii="Calibri" w:eastAsia="Times New Roman" w:hAnsi="Calibri" w:cs="Times New Roman"/>
                <w:color w:val="000000"/>
                <w:sz w:val="20"/>
                <w:szCs w:val="20"/>
                <w:lang w:eastAsia="it-IT"/>
              </w:rPr>
            </w:pPr>
            <w:r w:rsidRPr="00603B75">
              <w:rPr>
                <w:rFonts w:ascii="Calibri" w:eastAsia="Times New Roman" w:hAnsi="Calibri" w:cs="Times New Roman"/>
                <w:color w:val="000000"/>
                <w:sz w:val="20"/>
                <w:szCs w:val="20"/>
                <w:lang w:eastAsia="it-IT"/>
              </w:rPr>
              <w:t>Campania</w:t>
            </w:r>
          </w:p>
        </w:tc>
        <w:tc>
          <w:tcPr>
            <w:tcW w:w="160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-72.420</w:t>
            </w:r>
          </w:p>
        </w:tc>
        <w:tc>
          <w:tcPr>
            <w:tcW w:w="212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-0,146</w:t>
            </w:r>
          </w:p>
        </w:tc>
      </w:tr>
      <w:tr w:rsidR="00CF727C" w:rsidRPr="00603B75" w:rsidTr="005E32C9">
        <w:trPr>
          <w:trHeight w:val="300"/>
        </w:trPr>
        <w:tc>
          <w:tcPr>
            <w:tcW w:w="1985" w:type="dxa"/>
            <w:tcBorders>
              <w:top w:val="nil"/>
              <w:left w:val="nil"/>
              <w:bottom w:val="nil"/>
              <w:right w:val="nil"/>
            </w:tcBorders>
            <w:shd w:val="clear" w:color="auto" w:fill="auto"/>
            <w:noWrap/>
            <w:vAlign w:val="bottom"/>
            <w:hideMark/>
          </w:tcPr>
          <w:p w:rsidR="00CF727C" w:rsidRPr="00603B75" w:rsidRDefault="00CF727C" w:rsidP="005E32C9">
            <w:pPr>
              <w:spacing w:after="0" w:line="240" w:lineRule="auto"/>
              <w:rPr>
                <w:rFonts w:ascii="Calibri" w:eastAsia="Times New Roman" w:hAnsi="Calibri" w:cs="Times New Roman"/>
                <w:color w:val="000000"/>
                <w:sz w:val="20"/>
                <w:szCs w:val="20"/>
                <w:lang w:eastAsia="it-IT"/>
              </w:rPr>
            </w:pPr>
            <w:r w:rsidRPr="00603B75">
              <w:rPr>
                <w:rFonts w:ascii="Calibri" w:eastAsia="Times New Roman" w:hAnsi="Calibri" w:cs="Times New Roman"/>
                <w:color w:val="000000"/>
                <w:sz w:val="20"/>
                <w:szCs w:val="20"/>
                <w:lang w:eastAsia="it-IT"/>
              </w:rPr>
              <w:t>Puglia</w:t>
            </w:r>
          </w:p>
        </w:tc>
        <w:tc>
          <w:tcPr>
            <w:tcW w:w="160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-65.894</w:t>
            </w:r>
          </w:p>
        </w:tc>
        <w:tc>
          <w:tcPr>
            <w:tcW w:w="212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-0,200</w:t>
            </w:r>
          </w:p>
        </w:tc>
      </w:tr>
      <w:tr w:rsidR="00CF727C" w:rsidRPr="00603B75" w:rsidTr="005E32C9">
        <w:trPr>
          <w:trHeight w:val="300"/>
        </w:trPr>
        <w:tc>
          <w:tcPr>
            <w:tcW w:w="1985" w:type="dxa"/>
            <w:tcBorders>
              <w:top w:val="nil"/>
              <w:left w:val="nil"/>
              <w:bottom w:val="nil"/>
              <w:right w:val="nil"/>
            </w:tcBorders>
            <w:shd w:val="clear" w:color="auto" w:fill="auto"/>
            <w:noWrap/>
            <w:vAlign w:val="bottom"/>
            <w:hideMark/>
          </w:tcPr>
          <w:p w:rsidR="00CF727C" w:rsidRPr="00603B75" w:rsidRDefault="00CF727C" w:rsidP="005E32C9">
            <w:pPr>
              <w:spacing w:after="0" w:line="240" w:lineRule="auto"/>
              <w:rPr>
                <w:rFonts w:ascii="Calibri" w:eastAsia="Times New Roman" w:hAnsi="Calibri" w:cs="Times New Roman"/>
                <w:color w:val="000000"/>
                <w:sz w:val="20"/>
                <w:szCs w:val="20"/>
                <w:lang w:eastAsia="it-IT"/>
              </w:rPr>
            </w:pPr>
            <w:r w:rsidRPr="00603B75">
              <w:rPr>
                <w:rFonts w:ascii="Calibri" w:eastAsia="Times New Roman" w:hAnsi="Calibri" w:cs="Times New Roman"/>
                <w:color w:val="000000"/>
                <w:sz w:val="20"/>
                <w:szCs w:val="20"/>
                <w:lang w:eastAsia="it-IT"/>
              </w:rPr>
              <w:t>Basilicata</w:t>
            </w:r>
          </w:p>
        </w:tc>
        <w:tc>
          <w:tcPr>
            <w:tcW w:w="160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-3.196</w:t>
            </w:r>
          </w:p>
        </w:tc>
        <w:tc>
          <w:tcPr>
            <w:tcW w:w="212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-0,166</w:t>
            </w:r>
          </w:p>
        </w:tc>
      </w:tr>
      <w:tr w:rsidR="00CF727C" w:rsidRPr="00603B75" w:rsidTr="005E32C9">
        <w:trPr>
          <w:trHeight w:val="300"/>
        </w:trPr>
        <w:tc>
          <w:tcPr>
            <w:tcW w:w="1985" w:type="dxa"/>
            <w:tcBorders>
              <w:top w:val="nil"/>
              <w:left w:val="nil"/>
              <w:bottom w:val="nil"/>
              <w:right w:val="nil"/>
            </w:tcBorders>
            <w:shd w:val="clear" w:color="auto" w:fill="auto"/>
            <w:noWrap/>
            <w:vAlign w:val="bottom"/>
            <w:hideMark/>
          </w:tcPr>
          <w:p w:rsidR="00CF727C" w:rsidRPr="00603B75" w:rsidRDefault="00CF727C" w:rsidP="005E32C9">
            <w:pPr>
              <w:spacing w:after="0" w:line="240" w:lineRule="auto"/>
              <w:rPr>
                <w:rFonts w:ascii="Calibri" w:eastAsia="Times New Roman" w:hAnsi="Calibri" w:cs="Times New Roman"/>
                <w:color w:val="000000"/>
                <w:sz w:val="20"/>
                <w:szCs w:val="20"/>
                <w:lang w:eastAsia="it-IT"/>
              </w:rPr>
            </w:pPr>
            <w:r w:rsidRPr="00603B75">
              <w:rPr>
                <w:rFonts w:ascii="Calibri" w:eastAsia="Times New Roman" w:hAnsi="Calibri" w:cs="Times New Roman"/>
                <w:color w:val="000000"/>
                <w:sz w:val="20"/>
                <w:szCs w:val="20"/>
                <w:lang w:eastAsia="it-IT"/>
              </w:rPr>
              <w:t>Calabria</w:t>
            </w:r>
          </w:p>
        </w:tc>
        <w:tc>
          <w:tcPr>
            <w:tcW w:w="160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-8.538</w:t>
            </w:r>
          </w:p>
        </w:tc>
        <w:tc>
          <w:tcPr>
            <w:tcW w:w="212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-0,251</w:t>
            </w:r>
          </w:p>
        </w:tc>
      </w:tr>
      <w:tr w:rsidR="00CF727C" w:rsidRPr="00603B75" w:rsidTr="005E32C9">
        <w:trPr>
          <w:trHeight w:val="300"/>
        </w:trPr>
        <w:tc>
          <w:tcPr>
            <w:tcW w:w="1985" w:type="dxa"/>
            <w:tcBorders>
              <w:top w:val="nil"/>
              <w:left w:val="nil"/>
              <w:bottom w:val="nil"/>
              <w:right w:val="nil"/>
            </w:tcBorders>
            <w:shd w:val="clear" w:color="auto" w:fill="auto"/>
            <w:noWrap/>
            <w:vAlign w:val="bottom"/>
            <w:hideMark/>
          </w:tcPr>
          <w:p w:rsidR="00CF727C" w:rsidRPr="00603B75" w:rsidRDefault="00CF727C" w:rsidP="005E32C9">
            <w:pPr>
              <w:spacing w:after="0" w:line="240" w:lineRule="auto"/>
              <w:rPr>
                <w:rFonts w:ascii="Calibri" w:eastAsia="Times New Roman" w:hAnsi="Calibri" w:cs="Times New Roman"/>
                <w:color w:val="000000"/>
                <w:sz w:val="20"/>
                <w:szCs w:val="20"/>
                <w:lang w:eastAsia="it-IT"/>
              </w:rPr>
            </w:pPr>
            <w:r w:rsidRPr="00603B75">
              <w:rPr>
                <w:rFonts w:ascii="Calibri" w:eastAsia="Times New Roman" w:hAnsi="Calibri" w:cs="Times New Roman"/>
                <w:color w:val="000000"/>
                <w:sz w:val="20"/>
                <w:szCs w:val="20"/>
                <w:lang w:eastAsia="it-IT"/>
              </w:rPr>
              <w:t>Sicilia</w:t>
            </w:r>
          </w:p>
        </w:tc>
        <w:tc>
          <w:tcPr>
            <w:tcW w:w="160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-24.262</w:t>
            </w:r>
          </w:p>
        </w:tc>
        <w:tc>
          <w:tcPr>
            <w:tcW w:w="212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-0,214</w:t>
            </w:r>
          </w:p>
        </w:tc>
      </w:tr>
      <w:tr w:rsidR="00CF727C" w:rsidRPr="00603B75" w:rsidTr="005E32C9">
        <w:trPr>
          <w:trHeight w:val="300"/>
        </w:trPr>
        <w:tc>
          <w:tcPr>
            <w:tcW w:w="1985" w:type="dxa"/>
            <w:tcBorders>
              <w:top w:val="nil"/>
              <w:left w:val="nil"/>
              <w:bottom w:val="nil"/>
              <w:right w:val="nil"/>
            </w:tcBorders>
            <w:shd w:val="clear" w:color="auto" w:fill="auto"/>
            <w:noWrap/>
            <w:vAlign w:val="bottom"/>
            <w:hideMark/>
          </w:tcPr>
          <w:p w:rsidR="00CF727C" w:rsidRPr="00603B75" w:rsidRDefault="00CF727C" w:rsidP="005E32C9">
            <w:pPr>
              <w:spacing w:after="0" w:line="240" w:lineRule="auto"/>
              <w:rPr>
                <w:rFonts w:ascii="Calibri" w:eastAsia="Times New Roman" w:hAnsi="Calibri" w:cs="Times New Roman"/>
                <w:color w:val="000000"/>
                <w:sz w:val="20"/>
                <w:szCs w:val="20"/>
                <w:lang w:eastAsia="it-IT"/>
              </w:rPr>
            </w:pPr>
            <w:r w:rsidRPr="00603B75">
              <w:rPr>
                <w:rFonts w:ascii="Calibri" w:eastAsia="Times New Roman" w:hAnsi="Calibri" w:cs="Times New Roman"/>
                <w:color w:val="000000"/>
                <w:sz w:val="20"/>
                <w:szCs w:val="20"/>
                <w:lang w:eastAsia="it-IT"/>
              </w:rPr>
              <w:t>Sardegna</w:t>
            </w:r>
          </w:p>
        </w:tc>
        <w:tc>
          <w:tcPr>
            <w:tcW w:w="1600" w:type="dxa"/>
            <w:tcBorders>
              <w:top w:val="nil"/>
              <w:left w:val="nil"/>
              <w:bottom w:val="nil"/>
              <w:right w:val="nil"/>
            </w:tcBorders>
            <w:shd w:val="clear" w:color="auto" w:fill="DBDBDB" w:themeFill="accent3" w:themeFillTint="66"/>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-18.337</w:t>
            </w:r>
          </w:p>
        </w:tc>
        <w:tc>
          <w:tcPr>
            <w:tcW w:w="2120" w:type="dxa"/>
            <w:tcBorders>
              <w:top w:val="nil"/>
              <w:left w:val="nil"/>
              <w:bottom w:val="nil"/>
              <w:right w:val="nil"/>
            </w:tcBorders>
            <w:shd w:val="clear" w:color="auto" w:fill="DBDBDB" w:themeFill="accent3" w:themeFillTint="66"/>
            <w:noWrap/>
            <w:hideMark/>
          </w:tcPr>
          <w:p w:rsidR="00CF727C" w:rsidRDefault="00CF727C" w:rsidP="005E32C9">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-0,182</w:t>
            </w:r>
          </w:p>
        </w:tc>
      </w:tr>
      <w:tr w:rsidR="00CF727C" w:rsidRPr="00842F1C" w:rsidTr="005E32C9">
        <w:trPr>
          <w:trHeight w:val="300"/>
        </w:trPr>
        <w:tc>
          <w:tcPr>
            <w:tcW w:w="1985" w:type="dxa"/>
            <w:tcBorders>
              <w:top w:val="nil"/>
              <w:left w:val="nil"/>
              <w:bottom w:val="nil"/>
              <w:right w:val="nil"/>
            </w:tcBorders>
            <w:shd w:val="clear" w:color="auto" w:fill="auto"/>
            <w:noWrap/>
            <w:vAlign w:val="bottom"/>
            <w:hideMark/>
          </w:tcPr>
          <w:p w:rsidR="00CF727C" w:rsidRPr="00603B75" w:rsidRDefault="00CF727C" w:rsidP="005E32C9">
            <w:pPr>
              <w:spacing w:after="0" w:line="240" w:lineRule="auto"/>
              <w:rPr>
                <w:rFonts w:ascii="Calibri" w:eastAsia="Times New Roman" w:hAnsi="Calibri" w:cs="Times New Roman"/>
                <w:b/>
                <w:bCs/>
                <w:color w:val="000000"/>
                <w:sz w:val="20"/>
                <w:szCs w:val="20"/>
                <w:lang w:eastAsia="it-IT"/>
              </w:rPr>
            </w:pPr>
            <w:r w:rsidRPr="00603B75">
              <w:rPr>
                <w:rFonts w:ascii="Calibri" w:eastAsia="Times New Roman" w:hAnsi="Calibri" w:cs="Times New Roman"/>
                <w:b/>
                <w:bCs/>
                <w:color w:val="000000"/>
                <w:sz w:val="20"/>
                <w:szCs w:val="20"/>
                <w:lang w:eastAsia="it-IT"/>
              </w:rPr>
              <w:t>ITALIA</w:t>
            </w:r>
          </w:p>
        </w:tc>
        <w:tc>
          <w:tcPr>
            <w:tcW w:w="160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-1.349.945</w:t>
            </w:r>
          </w:p>
        </w:tc>
        <w:tc>
          <w:tcPr>
            <w:tcW w:w="2120" w:type="dxa"/>
            <w:tcBorders>
              <w:top w:val="nil"/>
              <w:left w:val="nil"/>
              <w:bottom w:val="nil"/>
              <w:right w:val="nil"/>
            </w:tcBorders>
            <w:shd w:val="clear" w:color="auto" w:fill="auto"/>
            <w:noWrap/>
            <w:hideMark/>
          </w:tcPr>
          <w:p w:rsidR="00CF727C" w:rsidRDefault="00CF727C" w:rsidP="005E32C9">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-0,169</w:t>
            </w:r>
          </w:p>
        </w:tc>
      </w:tr>
    </w:tbl>
    <w:p w:rsidR="002A2A80" w:rsidRDefault="002A2A80" w:rsidP="00CF727C">
      <w:pPr>
        <w:jc w:val="both"/>
        <w:rPr>
          <w:bCs/>
        </w:rPr>
      </w:pPr>
    </w:p>
    <w:p w:rsidR="00CF727C" w:rsidRPr="002A2A80" w:rsidRDefault="00CF727C" w:rsidP="002A2A80">
      <w:pPr>
        <w:pStyle w:val="Paragrafoelenco"/>
        <w:numPr>
          <w:ilvl w:val="0"/>
          <w:numId w:val="2"/>
        </w:numPr>
        <w:jc w:val="both"/>
        <w:rPr>
          <w:b/>
          <w:bCs/>
          <w:color w:val="FF0000"/>
          <w:sz w:val="24"/>
        </w:rPr>
      </w:pPr>
      <w:r w:rsidRPr="002A2A80">
        <w:rPr>
          <w:b/>
          <w:bCs/>
          <w:color w:val="FF0000"/>
          <w:sz w:val="24"/>
        </w:rPr>
        <w:t>La situazione dei Comuni italiani</w:t>
      </w:r>
    </w:p>
    <w:p w:rsidR="00CF727C" w:rsidRDefault="00CF727C" w:rsidP="00CF727C">
      <w:pPr>
        <w:jc w:val="both"/>
        <w:rPr>
          <w:bCs/>
        </w:rPr>
      </w:pPr>
      <w:r w:rsidRPr="006769BC">
        <w:rPr>
          <w:b/>
          <w:bCs/>
        </w:rPr>
        <w:t>I comuni che hanno raggiunto l’obiett</w:t>
      </w:r>
      <w:r w:rsidR="006769BC" w:rsidRPr="006769BC">
        <w:rPr>
          <w:b/>
          <w:bCs/>
        </w:rPr>
        <w:t xml:space="preserve">ivo del 50% di avvio a riciclo </w:t>
      </w:r>
      <w:r w:rsidRPr="006769BC">
        <w:rPr>
          <w:b/>
          <w:bCs/>
        </w:rPr>
        <w:t>sono 3.141 (40% in più rispetto al 2013)</w:t>
      </w:r>
      <w:r w:rsidRPr="00CF727C">
        <w:rPr>
          <w:bCs/>
        </w:rPr>
        <w:t xml:space="preserve"> con una popolazione media di 7.088 abitanti per Comune e un totale di 22.264.885 di abitanti pari al 37,46% della popolazione nazionale (incremento del 50,3 % rispetto al 2013). </w:t>
      </w:r>
      <w:r w:rsidRPr="006769BC">
        <w:rPr>
          <w:b/>
          <w:bCs/>
        </w:rPr>
        <w:t>Di tali comuni si evidenzia però che solo il 60,2% ha raggiunto anche l’obiettivo del 65% di raccolta differenziata.</w:t>
      </w:r>
      <w:r w:rsidR="006769BC">
        <w:rPr>
          <w:bCs/>
        </w:rPr>
        <w:t xml:space="preserve"> </w:t>
      </w:r>
      <w:r w:rsidRPr="00CF727C">
        <w:rPr>
          <w:bCs/>
        </w:rPr>
        <w:t>Da tale analisi emerge che fissare l’obiettivo di Raccolta Differenziata al 65% è sicuramente uno stimolo al miglioramento per il sistema Italia ma è anche vero che si richiede agli Enti Locali uno sforzo economico da destinare alla raccolta superiore alle reali esigenze. Tali risorse potrebbero essere destinate alla creazione di una vera economia del riciclo.</w:t>
      </w:r>
    </w:p>
    <w:p w:rsidR="00CF1999" w:rsidRDefault="00CF1999" w:rsidP="00CF1999">
      <w:pPr>
        <w:jc w:val="both"/>
        <w:rPr>
          <w:bCs/>
        </w:rPr>
      </w:pPr>
      <w:r w:rsidRPr="00CF1999">
        <w:rPr>
          <w:bCs/>
        </w:rPr>
        <w:t>I primi 20 Comuni con popolazione superiore a 100.000 che hanno superato l’obiettivo del 50% del 2020, sono r</w:t>
      </w:r>
      <w:r>
        <w:rPr>
          <w:bCs/>
        </w:rPr>
        <w:t>iportati nella tabella seguente:</w:t>
      </w:r>
    </w:p>
    <w:tbl>
      <w:tblPr>
        <w:tblW w:w="9539" w:type="dxa"/>
        <w:tblInd w:w="55" w:type="dxa"/>
        <w:tblLayout w:type="fixed"/>
        <w:tblCellMar>
          <w:left w:w="70" w:type="dxa"/>
          <w:right w:w="70" w:type="dxa"/>
        </w:tblCellMar>
        <w:tblLook w:val="04A0" w:firstRow="1" w:lastRow="0" w:firstColumn="1" w:lastColumn="0" w:noHBand="0" w:noVBand="1"/>
      </w:tblPr>
      <w:tblGrid>
        <w:gridCol w:w="866"/>
        <w:gridCol w:w="2126"/>
        <w:gridCol w:w="992"/>
        <w:gridCol w:w="1418"/>
        <w:gridCol w:w="1743"/>
        <w:gridCol w:w="739"/>
        <w:gridCol w:w="739"/>
        <w:gridCol w:w="916"/>
      </w:tblGrid>
      <w:tr w:rsidR="00CF1999" w:rsidRPr="00851A27" w:rsidTr="005E32C9">
        <w:trPr>
          <w:trHeight w:val="300"/>
        </w:trPr>
        <w:tc>
          <w:tcPr>
            <w:tcW w:w="9539" w:type="dxa"/>
            <w:gridSpan w:val="8"/>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center"/>
              <w:rPr>
                <w:rFonts w:ascii="Calibri" w:eastAsia="Times New Roman" w:hAnsi="Calibri" w:cs="Times New Roman"/>
                <w:b/>
                <w:bCs/>
                <w:color w:val="000000"/>
                <w:lang w:eastAsia="it-IT"/>
              </w:rPr>
            </w:pPr>
            <w:r w:rsidRPr="00851A27">
              <w:rPr>
                <w:rFonts w:ascii="Calibri" w:eastAsia="Times New Roman" w:hAnsi="Calibri" w:cs="Times New Roman"/>
                <w:b/>
                <w:bCs/>
                <w:color w:val="000000"/>
                <w:lang w:eastAsia="it-IT"/>
              </w:rPr>
              <w:t>Comuni con popolazione maggiore di 100.000 abitanti</w:t>
            </w:r>
          </w:p>
        </w:tc>
      </w:tr>
      <w:tr w:rsidR="00CF1999" w:rsidRPr="00851A27" w:rsidTr="005E32C9">
        <w:trPr>
          <w:trHeight w:val="765"/>
        </w:trPr>
        <w:tc>
          <w:tcPr>
            <w:tcW w:w="866" w:type="dxa"/>
            <w:tcBorders>
              <w:top w:val="nil"/>
              <w:left w:val="nil"/>
              <w:bottom w:val="nil"/>
              <w:right w:val="nil"/>
            </w:tcBorders>
            <w:shd w:val="clear" w:color="auto" w:fill="auto"/>
            <w:vAlign w:val="center"/>
            <w:hideMark/>
          </w:tcPr>
          <w:p w:rsidR="00CF1999" w:rsidRPr="00851A27" w:rsidRDefault="00CF1999" w:rsidP="005E32C9">
            <w:pPr>
              <w:spacing w:after="0" w:line="240" w:lineRule="auto"/>
              <w:jc w:val="center"/>
              <w:rPr>
                <w:rFonts w:ascii="Calibri" w:eastAsia="Times New Roman" w:hAnsi="Calibri" w:cs="Times New Roman"/>
                <w:b/>
                <w:bCs/>
                <w:color w:val="000000"/>
                <w:sz w:val="18"/>
                <w:szCs w:val="18"/>
                <w:lang w:eastAsia="it-IT"/>
              </w:rPr>
            </w:pPr>
            <w:r w:rsidRPr="00851A27">
              <w:rPr>
                <w:rFonts w:ascii="Calibri" w:eastAsia="Times New Roman" w:hAnsi="Calibri" w:cs="Times New Roman"/>
                <w:b/>
                <w:bCs/>
                <w:color w:val="000000"/>
                <w:sz w:val="18"/>
                <w:szCs w:val="18"/>
                <w:lang w:eastAsia="it-IT"/>
              </w:rPr>
              <w:t>Codice Istat 2014</w:t>
            </w:r>
          </w:p>
        </w:tc>
        <w:tc>
          <w:tcPr>
            <w:tcW w:w="2126" w:type="dxa"/>
            <w:tcBorders>
              <w:top w:val="nil"/>
              <w:left w:val="nil"/>
              <w:bottom w:val="nil"/>
              <w:right w:val="nil"/>
            </w:tcBorders>
            <w:shd w:val="clear" w:color="auto" w:fill="auto"/>
            <w:vAlign w:val="center"/>
            <w:hideMark/>
          </w:tcPr>
          <w:p w:rsidR="00CF1999" w:rsidRPr="00851A27" w:rsidRDefault="00CF1999" w:rsidP="005E32C9">
            <w:pPr>
              <w:spacing w:after="0" w:line="240" w:lineRule="auto"/>
              <w:jc w:val="center"/>
              <w:rPr>
                <w:rFonts w:ascii="Calibri" w:eastAsia="Times New Roman" w:hAnsi="Calibri" w:cs="Times New Roman"/>
                <w:b/>
                <w:bCs/>
                <w:color w:val="000000"/>
                <w:sz w:val="18"/>
                <w:szCs w:val="18"/>
                <w:lang w:eastAsia="it-IT"/>
              </w:rPr>
            </w:pPr>
            <w:r w:rsidRPr="00851A27">
              <w:rPr>
                <w:rFonts w:ascii="Calibri" w:eastAsia="Times New Roman" w:hAnsi="Calibri" w:cs="Times New Roman"/>
                <w:b/>
                <w:bCs/>
                <w:color w:val="000000"/>
                <w:sz w:val="18"/>
                <w:szCs w:val="18"/>
                <w:lang w:eastAsia="it-IT"/>
              </w:rPr>
              <w:t>Comune</w:t>
            </w:r>
          </w:p>
        </w:tc>
        <w:tc>
          <w:tcPr>
            <w:tcW w:w="992" w:type="dxa"/>
            <w:tcBorders>
              <w:top w:val="nil"/>
              <w:left w:val="nil"/>
              <w:bottom w:val="nil"/>
              <w:right w:val="nil"/>
            </w:tcBorders>
            <w:shd w:val="clear" w:color="auto" w:fill="auto"/>
            <w:vAlign w:val="center"/>
            <w:hideMark/>
          </w:tcPr>
          <w:p w:rsidR="00CF1999" w:rsidRPr="00851A27" w:rsidRDefault="00CF1999" w:rsidP="005E32C9">
            <w:pPr>
              <w:spacing w:after="0" w:line="240" w:lineRule="auto"/>
              <w:jc w:val="center"/>
              <w:rPr>
                <w:rFonts w:ascii="Calibri" w:eastAsia="Times New Roman" w:hAnsi="Calibri" w:cs="Times New Roman"/>
                <w:b/>
                <w:bCs/>
                <w:color w:val="000000"/>
                <w:sz w:val="18"/>
                <w:szCs w:val="18"/>
                <w:lang w:eastAsia="it-IT"/>
              </w:rPr>
            </w:pPr>
            <w:r w:rsidRPr="00851A27">
              <w:rPr>
                <w:rFonts w:ascii="Calibri" w:eastAsia="Times New Roman" w:hAnsi="Calibri" w:cs="Times New Roman"/>
                <w:b/>
                <w:bCs/>
                <w:color w:val="000000"/>
                <w:sz w:val="18"/>
                <w:szCs w:val="18"/>
                <w:lang w:eastAsia="it-IT"/>
              </w:rPr>
              <w:t>Popolazione 2014 (istat 2011)</w:t>
            </w:r>
          </w:p>
        </w:tc>
        <w:tc>
          <w:tcPr>
            <w:tcW w:w="1418" w:type="dxa"/>
            <w:tcBorders>
              <w:top w:val="nil"/>
              <w:left w:val="nil"/>
              <w:bottom w:val="nil"/>
              <w:right w:val="nil"/>
            </w:tcBorders>
            <w:shd w:val="clear" w:color="auto" w:fill="auto"/>
            <w:vAlign w:val="center"/>
            <w:hideMark/>
          </w:tcPr>
          <w:p w:rsidR="00CF1999" w:rsidRPr="00851A27" w:rsidRDefault="00CF1999" w:rsidP="005E32C9">
            <w:pPr>
              <w:spacing w:after="0" w:line="240" w:lineRule="auto"/>
              <w:jc w:val="center"/>
              <w:rPr>
                <w:rFonts w:ascii="Calibri" w:eastAsia="Times New Roman" w:hAnsi="Calibri" w:cs="Times New Roman"/>
                <w:b/>
                <w:bCs/>
                <w:color w:val="000000"/>
                <w:sz w:val="18"/>
                <w:szCs w:val="18"/>
                <w:lang w:eastAsia="it-IT"/>
              </w:rPr>
            </w:pPr>
            <w:r w:rsidRPr="00851A27">
              <w:rPr>
                <w:rFonts w:ascii="Calibri" w:eastAsia="Times New Roman" w:hAnsi="Calibri" w:cs="Times New Roman"/>
                <w:b/>
                <w:bCs/>
                <w:color w:val="000000"/>
                <w:sz w:val="18"/>
                <w:szCs w:val="18"/>
                <w:lang w:eastAsia="it-IT"/>
              </w:rPr>
              <w:t>Provincia</w:t>
            </w:r>
          </w:p>
        </w:tc>
        <w:tc>
          <w:tcPr>
            <w:tcW w:w="1743" w:type="dxa"/>
            <w:tcBorders>
              <w:top w:val="nil"/>
              <w:left w:val="nil"/>
              <w:bottom w:val="nil"/>
              <w:right w:val="nil"/>
            </w:tcBorders>
            <w:shd w:val="clear" w:color="auto" w:fill="auto"/>
            <w:vAlign w:val="center"/>
            <w:hideMark/>
          </w:tcPr>
          <w:p w:rsidR="00CF1999" w:rsidRPr="00851A27" w:rsidRDefault="00CF1999" w:rsidP="005E32C9">
            <w:pPr>
              <w:spacing w:after="0" w:line="240" w:lineRule="auto"/>
              <w:jc w:val="center"/>
              <w:rPr>
                <w:rFonts w:ascii="Calibri" w:eastAsia="Times New Roman" w:hAnsi="Calibri" w:cs="Times New Roman"/>
                <w:b/>
                <w:bCs/>
                <w:color w:val="000000"/>
                <w:sz w:val="20"/>
                <w:szCs w:val="20"/>
                <w:lang w:eastAsia="it-IT"/>
              </w:rPr>
            </w:pPr>
            <w:r w:rsidRPr="00851A27">
              <w:rPr>
                <w:rFonts w:ascii="Calibri" w:eastAsia="Times New Roman" w:hAnsi="Calibri" w:cs="Times New Roman"/>
                <w:b/>
                <w:bCs/>
                <w:color w:val="000000"/>
                <w:sz w:val="20"/>
                <w:szCs w:val="20"/>
                <w:lang w:eastAsia="it-IT"/>
              </w:rPr>
              <w:t>Regione</w:t>
            </w:r>
          </w:p>
        </w:tc>
        <w:tc>
          <w:tcPr>
            <w:tcW w:w="739" w:type="dxa"/>
            <w:tcBorders>
              <w:top w:val="nil"/>
              <w:left w:val="nil"/>
              <w:bottom w:val="nil"/>
              <w:right w:val="nil"/>
            </w:tcBorders>
            <w:shd w:val="clear" w:color="auto" w:fill="auto"/>
            <w:vAlign w:val="center"/>
            <w:hideMark/>
          </w:tcPr>
          <w:p w:rsidR="00CF1999" w:rsidRPr="00851A27" w:rsidRDefault="00CF1999" w:rsidP="005E32C9">
            <w:pPr>
              <w:spacing w:after="0" w:line="240" w:lineRule="auto"/>
              <w:jc w:val="center"/>
              <w:rPr>
                <w:rFonts w:ascii="Calibri" w:eastAsia="Times New Roman" w:hAnsi="Calibri" w:cs="Times New Roman"/>
                <w:b/>
                <w:bCs/>
                <w:color w:val="000000"/>
                <w:sz w:val="20"/>
                <w:szCs w:val="20"/>
                <w:lang w:eastAsia="it-IT"/>
              </w:rPr>
            </w:pPr>
            <w:r w:rsidRPr="00851A27">
              <w:rPr>
                <w:rFonts w:ascii="Calibri" w:eastAsia="Times New Roman" w:hAnsi="Calibri" w:cs="Times New Roman"/>
                <w:b/>
                <w:bCs/>
                <w:color w:val="000000"/>
                <w:sz w:val="20"/>
                <w:szCs w:val="20"/>
                <w:lang w:eastAsia="it-IT"/>
              </w:rPr>
              <w:t xml:space="preserve">% avvio a riciclo </w:t>
            </w:r>
          </w:p>
        </w:tc>
        <w:tc>
          <w:tcPr>
            <w:tcW w:w="739" w:type="dxa"/>
            <w:tcBorders>
              <w:top w:val="nil"/>
              <w:left w:val="nil"/>
              <w:bottom w:val="nil"/>
              <w:right w:val="nil"/>
            </w:tcBorders>
            <w:shd w:val="clear" w:color="auto" w:fill="auto"/>
            <w:vAlign w:val="center"/>
            <w:hideMark/>
          </w:tcPr>
          <w:p w:rsidR="00CF1999" w:rsidRPr="00851A27" w:rsidRDefault="00CF1999" w:rsidP="005E32C9">
            <w:pPr>
              <w:spacing w:after="0" w:line="240" w:lineRule="auto"/>
              <w:jc w:val="center"/>
              <w:rPr>
                <w:rFonts w:ascii="Calibri" w:eastAsia="Times New Roman" w:hAnsi="Calibri" w:cs="Times New Roman"/>
                <w:b/>
                <w:bCs/>
                <w:color w:val="000000"/>
                <w:sz w:val="20"/>
                <w:szCs w:val="20"/>
                <w:lang w:eastAsia="it-IT"/>
              </w:rPr>
            </w:pPr>
            <w:r w:rsidRPr="00851A27">
              <w:rPr>
                <w:rFonts w:ascii="Calibri" w:eastAsia="Times New Roman" w:hAnsi="Calibri" w:cs="Times New Roman"/>
                <w:b/>
                <w:bCs/>
                <w:color w:val="000000"/>
                <w:sz w:val="20"/>
                <w:szCs w:val="20"/>
                <w:lang w:eastAsia="it-IT"/>
              </w:rPr>
              <w:t>% RD</w:t>
            </w:r>
          </w:p>
        </w:tc>
        <w:tc>
          <w:tcPr>
            <w:tcW w:w="916" w:type="dxa"/>
            <w:tcBorders>
              <w:top w:val="nil"/>
              <w:left w:val="nil"/>
              <w:bottom w:val="nil"/>
              <w:right w:val="nil"/>
            </w:tcBorders>
            <w:shd w:val="clear" w:color="auto" w:fill="auto"/>
            <w:vAlign w:val="center"/>
            <w:hideMark/>
          </w:tcPr>
          <w:p w:rsidR="00CF1999" w:rsidRPr="00851A27" w:rsidRDefault="00CF1999" w:rsidP="005E32C9">
            <w:pPr>
              <w:spacing w:after="0" w:line="240" w:lineRule="auto"/>
              <w:jc w:val="center"/>
              <w:rPr>
                <w:rFonts w:ascii="Calibri" w:eastAsia="Times New Roman" w:hAnsi="Calibri" w:cs="Times New Roman"/>
                <w:b/>
                <w:bCs/>
                <w:color w:val="000000"/>
                <w:sz w:val="20"/>
                <w:szCs w:val="20"/>
                <w:lang w:eastAsia="it-IT"/>
              </w:rPr>
            </w:pPr>
            <w:r w:rsidRPr="00851A27">
              <w:rPr>
                <w:rFonts w:ascii="Calibri" w:eastAsia="Times New Roman" w:hAnsi="Calibri" w:cs="Times New Roman"/>
                <w:b/>
                <w:bCs/>
                <w:color w:val="000000"/>
                <w:sz w:val="20"/>
                <w:szCs w:val="20"/>
                <w:lang w:eastAsia="it-IT"/>
              </w:rPr>
              <w:t>tCO2eq/t avvio recupero</w:t>
            </w:r>
          </w:p>
        </w:tc>
      </w:tr>
      <w:tr w:rsidR="00CF1999" w:rsidRPr="00851A27" w:rsidTr="005E32C9">
        <w:trPr>
          <w:trHeight w:val="300"/>
        </w:trPr>
        <w:tc>
          <w:tcPr>
            <w:tcW w:w="86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22205</w:t>
            </w:r>
          </w:p>
        </w:tc>
        <w:tc>
          <w:tcPr>
            <w:tcW w:w="212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Trento</w:t>
            </w:r>
          </w:p>
        </w:tc>
        <w:tc>
          <w:tcPr>
            <w:tcW w:w="992"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114</w:t>
            </w:r>
            <w:r>
              <w:rPr>
                <w:rFonts w:ascii="Calibri" w:eastAsia="Times New Roman" w:hAnsi="Calibri" w:cs="Times New Roman"/>
                <w:color w:val="000000"/>
                <w:sz w:val="20"/>
                <w:szCs w:val="20"/>
                <w:lang w:eastAsia="it-IT"/>
              </w:rPr>
              <w:t>.</w:t>
            </w:r>
            <w:r w:rsidRPr="00851A27">
              <w:rPr>
                <w:rFonts w:ascii="Calibri" w:eastAsia="Times New Roman" w:hAnsi="Calibri" w:cs="Times New Roman"/>
                <w:color w:val="000000"/>
                <w:sz w:val="20"/>
                <w:szCs w:val="20"/>
                <w:lang w:eastAsia="it-IT"/>
              </w:rPr>
              <w:t>198</w:t>
            </w:r>
          </w:p>
        </w:tc>
        <w:tc>
          <w:tcPr>
            <w:tcW w:w="1418"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Trento</w:t>
            </w:r>
          </w:p>
        </w:tc>
        <w:tc>
          <w:tcPr>
            <w:tcW w:w="1743"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Trentino </w:t>
            </w:r>
            <w:r w:rsidRPr="00851A27">
              <w:rPr>
                <w:rFonts w:ascii="Calibri" w:eastAsia="Times New Roman" w:hAnsi="Calibri" w:cs="Times New Roman"/>
                <w:color w:val="000000"/>
                <w:sz w:val="20"/>
                <w:szCs w:val="20"/>
                <w:lang w:eastAsia="it-IT"/>
              </w:rPr>
              <w:t>Alto Adige</w:t>
            </w:r>
          </w:p>
        </w:tc>
        <w:tc>
          <w:tcPr>
            <w:tcW w:w="739"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77,92%</w:t>
            </w:r>
          </w:p>
        </w:tc>
        <w:tc>
          <w:tcPr>
            <w:tcW w:w="739"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76,47%</w:t>
            </w:r>
          </w:p>
        </w:tc>
        <w:tc>
          <w:tcPr>
            <w:tcW w:w="91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-0,194</w:t>
            </w:r>
          </w:p>
        </w:tc>
      </w:tr>
      <w:tr w:rsidR="00CF1999" w:rsidRPr="00851A27" w:rsidTr="005E32C9">
        <w:trPr>
          <w:trHeight w:val="300"/>
        </w:trPr>
        <w:tc>
          <w:tcPr>
            <w:tcW w:w="86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21008</w:t>
            </w:r>
          </w:p>
        </w:tc>
        <w:tc>
          <w:tcPr>
            <w:tcW w:w="212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Bolzano</w:t>
            </w:r>
          </w:p>
        </w:tc>
        <w:tc>
          <w:tcPr>
            <w:tcW w:w="992"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102</w:t>
            </w:r>
            <w:r>
              <w:rPr>
                <w:rFonts w:ascii="Calibri" w:eastAsia="Times New Roman" w:hAnsi="Calibri" w:cs="Times New Roman"/>
                <w:color w:val="000000"/>
                <w:sz w:val="20"/>
                <w:szCs w:val="20"/>
                <w:lang w:eastAsia="it-IT"/>
              </w:rPr>
              <w:t>.</w:t>
            </w:r>
            <w:r w:rsidRPr="00851A27">
              <w:rPr>
                <w:rFonts w:ascii="Calibri" w:eastAsia="Times New Roman" w:hAnsi="Calibri" w:cs="Times New Roman"/>
                <w:color w:val="000000"/>
                <w:sz w:val="20"/>
                <w:szCs w:val="20"/>
                <w:lang w:eastAsia="it-IT"/>
              </w:rPr>
              <w:t>575</w:t>
            </w:r>
          </w:p>
        </w:tc>
        <w:tc>
          <w:tcPr>
            <w:tcW w:w="1418"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Bolzano/Bozen</w:t>
            </w:r>
          </w:p>
        </w:tc>
        <w:tc>
          <w:tcPr>
            <w:tcW w:w="1743"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Trentino</w:t>
            </w:r>
            <w:r>
              <w:rPr>
                <w:rFonts w:ascii="Calibri" w:eastAsia="Times New Roman" w:hAnsi="Calibri" w:cs="Times New Roman"/>
                <w:color w:val="000000"/>
                <w:sz w:val="20"/>
                <w:szCs w:val="20"/>
                <w:lang w:eastAsia="it-IT"/>
              </w:rPr>
              <w:t xml:space="preserve"> </w:t>
            </w:r>
            <w:r w:rsidRPr="00851A27">
              <w:rPr>
                <w:rFonts w:ascii="Calibri" w:eastAsia="Times New Roman" w:hAnsi="Calibri" w:cs="Times New Roman"/>
                <w:color w:val="000000"/>
                <w:sz w:val="20"/>
                <w:szCs w:val="20"/>
                <w:lang w:eastAsia="it-IT"/>
              </w:rPr>
              <w:t>Alto Adige</w:t>
            </w:r>
          </w:p>
        </w:tc>
        <w:tc>
          <w:tcPr>
            <w:tcW w:w="739"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67,02%</w:t>
            </w:r>
          </w:p>
        </w:tc>
        <w:tc>
          <w:tcPr>
            <w:tcW w:w="739"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63,80%</w:t>
            </w:r>
          </w:p>
        </w:tc>
        <w:tc>
          <w:tcPr>
            <w:tcW w:w="91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-0,208</w:t>
            </w:r>
          </w:p>
        </w:tc>
      </w:tr>
      <w:tr w:rsidR="00CF1999" w:rsidRPr="00851A27" w:rsidTr="005E32C9">
        <w:trPr>
          <w:trHeight w:val="300"/>
        </w:trPr>
        <w:tc>
          <w:tcPr>
            <w:tcW w:w="866"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34027</w:t>
            </w:r>
          </w:p>
        </w:tc>
        <w:tc>
          <w:tcPr>
            <w:tcW w:w="2126"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Parma</w:t>
            </w:r>
          </w:p>
        </w:tc>
        <w:tc>
          <w:tcPr>
            <w:tcW w:w="992"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175</w:t>
            </w:r>
            <w:r>
              <w:rPr>
                <w:rFonts w:ascii="Calibri" w:eastAsia="Times New Roman" w:hAnsi="Calibri" w:cs="Times New Roman"/>
                <w:color w:val="000000"/>
                <w:sz w:val="20"/>
                <w:szCs w:val="20"/>
                <w:lang w:eastAsia="it-IT"/>
              </w:rPr>
              <w:t>.</w:t>
            </w:r>
            <w:r w:rsidRPr="00851A27">
              <w:rPr>
                <w:rFonts w:ascii="Calibri" w:eastAsia="Times New Roman" w:hAnsi="Calibri" w:cs="Times New Roman"/>
                <w:color w:val="000000"/>
                <w:sz w:val="20"/>
                <w:szCs w:val="20"/>
                <w:lang w:eastAsia="it-IT"/>
              </w:rPr>
              <w:t>895</w:t>
            </w:r>
          </w:p>
        </w:tc>
        <w:tc>
          <w:tcPr>
            <w:tcW w:w="1418"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Parma</w:t>
            </w:r>
          </w:p>
        </w:tc>
        <w:tc>
          <w:tcPr>
            <w:tcW w:w="1743"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Emilia </w:t>
            </w:r>
            <w:r w:rsidRPr="00851A27">
              <w:rPr>
                <w:rFonts w:ascii="Calibri" w:eastAsia="Times New Roman" w:hAnsi="Calibri" w:cs="Times New Roman"/>
                <w:color w:val="000000"/>
                <w:sz w:val="20"/>
                <w:szCs w:val="20"/>
                <w:lang w:eastAsia="it-IT"/>
              </w:rPr>
              <w:t>Romagna</w:t>
            </w:r>
          </w:p>
        </w:tc>
        <w:tc>
          <w:tcPr>
            <w:tcW w:w="739"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64,15%</w:t>
            </w:r>
          </w:p>
        </w:tc>
        <w:tc>
          <w:tcPr>
            <w:tcW w:w="739"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61,60%</w:t>
            </w:r>
          </w:p>
        </w:tc>
        <w:tc>
          <w:tcPr>
            <w:tcW w:w="916"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-0,184</w:t>
            </w:r>
          </w:p>
        </w:tc>
      </w:tr>
      <w:tr w:rsidR="00CF1999" w:rsidRPr="00851A27" w:rsidTr="005E32C9">
        <w:trPr>
          <w:trHeight w:val="300"/>
        </w:trPr>
        <w:tc>
          <w:tcPr>
            <w:tcW w:w="86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24116</w:t>
            </w:r>
          </w:p>
        </w:tc>
        <w:tc>
          <w:tcPr>
            <w:tcW w:w="212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Vicenza</w:t>
            </w:r>
          </w:p>
        </w:tc>
        <w:tc>
          <w:tcPr>
            <w:tcW w:w="992"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111</w:t>
            </w:r>
            <w:r>
              <w:rPr>
                <w:rFonts w:ascii="Calibri" w:eastAsia="Times New Roman" w:hAnsi="Calibri" w:cs="Times New Roman"/>
                <w:color w:val="000000"/>
                <w:sz w:val="20"/>
                <w:szCs w:val="20"/>
                <w:lang w:eastAsia="it-IT"/>
              </w:rPr>
              <w:t>.</w:t>
            </w:r>
            <w:r w:rsidRPr="00851A27">
              <w:rPr>
                <w:rFonts w:ascii="Calibri" w:eastAsia="Times New Roman" w:hAnsi="Calibri" w:cs="Times New Roman"/>
                <w:color w:val="000000"/>
                <w:sz w:val="20"/>
                <w:szCs w:val="20"/>
                <w:lang w:eastAsia="it-IT"/>
              </w:rPr>
              <w:t>500</w:t>
            </w:r>
          </w:p>
        </w:tc>
        <w:tc>
          <w:tcPr>
            <w:tcW w:w="1418"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Vicenza</w:t>
            </w:r>
          </w:p>
        </w:tc>
        <w:tc>
          <w:tcPr>
            <w:tcW w:w="1743"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Veneto</w:t>
            </w:r>
          </w:p>
        </w:tc>
        <w:tc>
          <w:tcPr>
            <w:tcW w:w="739"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63,02%</w:t>
            </w:r>
          </w:p>
        </w:tc>
        <w:tc>
          <w:tcPr>
            <w:tcW w:w="739"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61,70%</w:t>
            </w:r>
          </w:p>
        </w:tc>
        <w:tc>
          <w:tcPr>
            <w:tcW w:w="91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-0,202</w:t>
            </w:r>
          </w:p>
        </w:tc>
      </w:tr>
      <w:tr w:rsidR="00CF1999" w:rsidRPr="00851A27" w:rsidTr="005E32C9">
        <w:trPr>
          <w:trHeight w:val="300"/>
        </w:trPr>
        <w:tc>
          <w:tcPr>
            <w:tcW w:w="86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99014</w:t>
            </w:r>
          </w:p>
        </w:tc>
        <w:tc>
          <w:tcPr>
            <w:tcW w:w="212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Rimini</w:t>
            </w:r>
          </w:p>
        </w:tc>
        <w:tc>
          <w:tcPr>
            <w:tcW w:w="992"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139</w:t>
            </w:r>
            <w:r>
              <w:rPr>
                <w:rFonts w:ascii="Calibri" w:eastAsia="Times New Roman" w:hAnsi="Calibri" w:cs="Times New Roman"/>
                <w:color w:val="000000"/>
                <w:sz w:val="20"/>
                <w:szCs w:val="20"/>
                <w:lang w:eastAsia="it-IT"/>
              </w:rPr>
              <w:t>.</w:t>
            </w:r>
            <w:r w:rsidRPr="00851A27">
              <w:rPr>
                <w:rFonts w:ascii="Calibri" w:eastAsia="Times New Roman" w:hAnsi="Calibri" w:cs="Times New Roman"/>
                <w:color w:val="000000"/>
                <w:sz w:val="20"/>
                <w:szCs w:val="20"/>
                <w:lang w:eastAsia="it-IT"/>
              </w:rPr>
              <w:t>601</w:t>
            </w:r>
          </w:p>
        </w:tc>
        <w:tc>
          <w:tcPr>
            <w:tcW w:w="1418"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Rimini</w:t>
            </w:r>
          </w:p>
        </w:tc>
        <w:tc>
          <w:tcPr>
            <w:tcW w:w="1743"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Emilia </w:t>
            </w:r>
            <w:r w:rsidRPr="00851A27">
              <w:rPr>
                <w:rFonts w:ascii="Calibri" w:eastAsia="Times New Roman" w:hAnsi="Calibri" w:cs="Times New Roman"/>
                <w:color w:val="000000"/>
                <w:sz w:val="20"/>
                <w:szCs w:val="20"/>
                <w:lang w:eastAsia="it-IT"/>
              </w:rPr>
              <w:t>Romagna</w:t>
            </w:r>
          </w:p>
        </w:tc>
        <w:tc>
          <w:tcPr>
            <w:tcW w:w="739"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60,52%</w:t>
            </w:r>
          </w:p>
        </w:tc>
        <w:tc>
          <w:tcPr>
            <w:tcW w:w="739"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58,70%</w:t>
            </w:r>
          </w:p>
        </w:tc>
        <w:tc>
          <w:tcPr>
            <w:tcW w:w="91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-0,143</w:t>
            </w:r>
          </w:p>
        </w:tc>
      </w:tr>
      <w:tr w:rsidR="00CF1999" w:rsidRPr="00851A27" w:rsidTr="005E32C9">
        <w:trPr>
          <w:trHeight w:val="300"/>
        </w:trPr>
        <w:tc>
          <w:tcPr>
            <w:tcW w:w="86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54039</w:t>
            </w:r>
          </w:p>
        </w:tc>
        <w:tc>
          <w:tcPr>
            <w:tcW w:w="212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Perugia</w:t>
            </w:r>
          </w:p>
        </w:tc>
        <w:tc>
          <w:tcPr>
            <w:tcW w:w="992"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162</w:t>
            </w:r>
            <w:r>
              <w:rPr>
                <w:rFonts w:ascii="Calibri" w:eastAsia="Times New Roman" w:hAnsi="Calibri" w:cs="Times New Roman"/>
                <w:color w:val="000000"/>
                <w:sz w:val="20"/>
                <w:szCs w:val="20"/>
                <w:lang w:eastAsia="it-IT"/>
              </w:rPr>
              <w:t>.</w:t>
            </w:r>
            <w:r w:rsidRPr="00851A27">
              <w:rPr>
                <w:rFonts w:ascii="Calibri" w:eastAsia="Times New Roman" w:hAnsi="Calibri" w:cs="Times New Roman"/>
                <w:color w:val="000000"/>
                <w:sz w:val="20"/>
                <w:szCs w:val="20"/>
                <w:lang w:eastAsia="it-IT"/>
              </w:rPr>
              <w:t>449</w:t>
            </w:r>
          </w:p>
        </w:tc>
        <w:tc>
          <w:tcPr>
            <w:tcW w:w="1418"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Perugia</w:t>
            </w:r>
          </w:p>
        </w:tc>
        <w:tc>
          <w:tcPr>
            <w:tcW w:w="1743"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Umbria</w:t>
            </w:r>
          </w:p>
        </w:tc>
        <w:tc>
          <w:tcPr>
            <w:tcW w:w="739"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57,54%</w:t>
            </w:r>
          </w:p>
        </w:tc>
        <w:tc>
          <w:tcPr>
            <w:tcW w:w="739"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58,72%</w:t>
            </w:r>
          </w:p>
        </w:tc>
        <w:tc>
          <w:tcPr>
            <w:tcW w:w="91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-0,251</w:t>
            </w:r>
          </w:p>
        </w:tc>
      </w:tr>
      <w:tr w:rsidR="00CF1999" w:rsidRPr="00851A27" w:rsidTr="005E32C9">
        <w:trPr>
          <w:trHeight w:val="300"/>
        </w:trPr>
        <w:tc>
          <w:tcPr>
            <w:tcW w:w="86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35033</w:t>
            </w:r>
          </w:p>
        </w:tc>
        <w:tc>
          <w:tcPr>
            <w:tcW w:w="212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Reggio nell'Emilia</w:t>
            </w:r>
          </w:p>
        </w:tc>
        <w:tc>
          <w:tcPr>
            <w:tcW w:w="992"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162</w:t>
            </w:r>
            <w:r>
              <w:rPr>
                <w:rFonts w:ascii="Calibri" w:eastAsia="Times New Roman" w:hAnsi="Calibri" w:cs="Times New Roman"/>
                <w:color w:val="000000"/>
                <w:sz w:val="20"/>
                <w:szCs w:val="20"/>
                <w:lang w:eastAsia="it-IT"/>
              </w:rPr>
              <w:t>.</w:t>
            </w:r>
            <w:r w:rsidRPr="00851A27">
              <w:rPr>
                <w:rFonts w:ascii="Calibri" w:eastAsia="Times New Roman" w:hAnsi="Calibri" w:cs="Times New Roman"/>
                <w:color w:val="000000"/>
                <w:sz w:val="20"/>
                <w:szCs w:val="20"/>
                <w:lang w:eastAsia="it-IT"/>
              </w:rPr>
              <w:t>082</w:t>
            </w:r>
          </w:p>
        </w:tc>
        <w:tc>
          <w:tcPr>
            <w:tcW w:w="1418"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Reggio nell'Emilia</w:t>
            </w:r>
          </w:p>
        </w:tc>
        <w:tc>
          <w:tcPr>
            <w:tcW w:w="1743"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Emilia </w:t>
            </w:r>
            <w:r w:rsidRPr="00851A27">
              <w:rPr>
                <w:rFonts w:ascii="Calibri" w:eastAsia="Times New Roman" w:hAnsi="Calibri" w:cs="Times New Roman"/>
                <w:color w:val="000000"/>
                <w:sz w:val="20"/>
                <w:szCs w:val="20"/>
                <w:lang w:eastAsia="it-IT"/>
              </w:rPr>
              <w:t>Romagna</w:t>
            </w:r>
          </w:p>
        </w:tc>
        <w:tc>
          <w:tcPr>
            <w:tcW w:w="739"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57,11%</w:t>
            </w:r>
          </w:p>
        </w:tc>
        <w:tc>
          <w:tcPr>
            <w:tcW w:w="739"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55,89%</w:t>
            </w:r>
          </w:p>
        </w:tc>
        <w:tc>
          <w:tcPr>
            <w:tcW w:w="91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-0,111</w:t>
            </w:r>
          </w:p>
        </w:tc>
      </w:tr>
      <w:tr w:rsidR="00CF1999" w:rsidRPr="00851A27" w:rsidTr="005E32C9">
        <w:trPr>
          <w:trHeight w:val="300"/>
        </w:trPr>
        <w:tc>
          <w:tcPr>
            <w:tcW w:w="86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110001</w:t>
            </w:r>
          </w:p>
        </w:tc>
        <w:tc>
          <w:tcPr>
            <w:tcW w:w="212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Andria</w:t>
            </w:r>
          </w:p>
        </w:tc>
        <w:tc>
          <w:tcPr>
            <w:tcW w:w="992"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100</w:t>
            </w:r>
            <w:r>
              <w:rPr>
                <w:rFonts w:ascii="Calibri" w:eastAsia="Times New Roman" w:hAnsi="Calibri" w:cs="Times New Roman"/>
                <w:color w:val="000000"/>
                <w:sz w:val="20"/>
                <w:szCs w:val="20"/>
                <w:lang w:eastAsia="it-IT"/>
              </w:rPr>
              <w:t>.</w:t>
            </w:r>
            <w:r w:rsidRPr="00851A27">
              <w:rPr>
                <w:rFonts w:ascii="Calibri" w:eastAsia="Times New Roman" w:hAnsi="Calibri" w:cs="Times New Roman"/>
                <w:color w:val="000000"/>
                <w:sz w:val="20"/>
                <w:szCs w:val="20"/>
                <w:lang w:eastAsia="it-IT"/>
              </w:rPr>
              <w:t>052</w:t>
            </w:r>
          </w:p>
        </w:tc>
        <w:tc>
          <w:tcPr>
            <w:tcW w:w="1418"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Barletta-Andria-Trani</w:t>
            </w:r>
          </w:p>
        </w:tc>
        <w:tc>
          <w:tcPr>
            <w:tcW w:w="1743"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Puglia</w:t>
            </w:r>
          </w:p>
        </w:tc>
        <w:tc>
          <w:tcPr>
            <w:tcW w:w="739"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56,59%</w:t>
            </w:r>
          </w:p>
        </w:tc>
        <w:tc>
          <w:tcPr>
            <w:tcW w:w="739"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58,57%</w:t>
            </w:r>
          </w:p>
        </w:tc>
        <w:tc>
          <w:tcPr>
            <w:tcW w:w="91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-0,116</w:t>
            </w:r>
          </w:p>
        </w:tc>
      </w:tr>
      <w:tr w:rsidR="00CF1999" w:rsidRPr="00851A27" w:rsidTr="005E32C9">
        <w:trPr>
          <w:trHeight w:val="300"/>
        </w:trPr>
        <w:tc>
          <w:tcPr>
            <w:tcW w:w="86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42002</w:t>
            </w:r>
          </w:p>
        </w:tc>
        <w:tc>
          <w:tcPr>
            <w:tcW w:w="212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Ancona</w:t>
            </w:r>
          </w:p>
        </w:tc>
        <w:tc>
          <w:tcPr>
            <w:tcW w:w="992"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101</w:t>
            </w:r>
            <w:r>
              <w:rPr>
                <w:rFonts w:ascii="Calibri" w:eastAsia="Times New Roman" w:hAnsi="Calibri" w:cs="Times New Roman"/>
                <w:color w:val="000000"/>
                <w:sz w:val="20"/>
                <w:szCs w:val="20"/>
                <w:lang w:eastAsia="it-IT"/>
              </w:rPr>
              <w:t>.</w:t>
            </w:r>
            <w:r w:rsidRPr="00851A27">
              <w:rPr>
                <w:rFonts w:ascii="Calibri" w:eastAsia="Times New Roman" w:hAnsi="Calibri" w:cs="Times New Roman"/>
                <w:color w:val="000000"/>
                <w:sz w:val="20"/>
                <w:szCs w:val="20"/>
                <w:lang w:eastAsia="it-IT"/>
              </w:rPr>
              <w:t>742</w:t>
            </w:r>
          </w:p>
        </w:tc>
        <w:tc>
          <w:tcPr>
            <w:tcW w:w="1418"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Ancona</w:t>
            </w:r>
          </w:p>
        </w:tc>
        <w:tc>
          <w:tcPr>
            <w:tcW w:w="1743"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Marche</w:t>
            </w:r>
          </w:p>
        </w:tc>
        <w:tc>
          <w:tcPr>
            <w:tcW w:w="739"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56,47%</w:t>
            </w:r>
          </w:p>
        </w:tc>
        <w:tc>
          <w:tcPr>
            <w:tcW w:w="739"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60,80%</w:t>
            </w:r>
          </w:p>
        </w:tc>
        <w:tc>
          <w:tcPr>
            <w:tcW w:w="91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-0,182</w:t>
            </w:r>
          </w:p>
        </w:tc>
      </w:tr>
      <w:tr w:rsidR="00CF1999" w:rsidRPr="00851A27" w:rsidTr="005E32C9">
        <w:trPr>
          <w:trHeight w:val="300"/>
        </w:trPr>
        <w:tc>
          <w:tcPr>
            <w:tcW w:w="866"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36023</w:t>
            </w:r>
          </w:p>
        </w:tc>
        <w:tc>
          <w:tcPr>
            <w:tcW w:w="2126"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Modena</w:t>
            </w:r>
          </w:p>
        </w:tc>
        <w:tc>
          <w:tcPr>
            <w:tcW w:w="992"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179</w:t>
            </w:r>
            <w:r>
              <w:rPr>
                <w:rFonts w:ascii="Calibri" w:eastAsia="Times New Roman" w:hAnsi="Calibri" w:cs="Times New Roman"/>
                <w:color w:val="000000"/>
                <w:sz w:val="20"/>
                <w:szCs w:val="20"/>
                <w:lang w:eastAsia="it-IT"/>
              </w:rPr>
              <w:t>.</w:t>
            </w:r>
            <w:r w:rsidRPr="00851A27">
              <w:rPr>
                <w:rFonts w:ascii="Calibri" w:eastAsia="Times New Roman" w:hAnsi="Calibri" w:cs="Times New Roman"/>
                <w:color w:val="000000"/>
                <w:sz w:val="20"/>
                <w:szCs w:val="20"/>
                <w:lang w:eastAsia="it-IT"/>
              </w:rPr>
              <w:t>149</w:t>
            </w:r>
          </w:p>
        </w:tc>
        <w:tc>
          <w:tcPr>
            <w:tcW w:w="1418"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Modena</w:t>
            </w:r>
          </w:p>
        </w:tc>
        <w:tc>
          <w:tcPr>
            <w:tcW w:w="1743"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Emilia </w:t>
            </w:r>
            <w:r w:rsidRPr="00851A27">
              <w:rPr>
                <w:rFonts w:ascii="Calibri" w:eastAsia="Times New Roman" w:hAnsi="Calibri" w:cs="Times New Roman"/>
                <w:color w:val="000000"/>
                <w:sz w:val="20"/>
                <w:szCs w:val="20"/>
                <w:lang w:eastAsia="it-IT"/>
              </w:rPr>
              <w:t>Romagna</w:t>
            </w:r>
          </w:p>
        </w:tc>
        <w:tc>
          <w:tcPr>
            <w:tcW w:w="739"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54,70%</w:t>
            </w:r>
          </w:p>
        </w:tc>
        <w:tc>
          <w:tcPr>
            <w:tcW w:w="739"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53,44%</w:t>
            </w:r>
          </w:p>
        </w:tc>
        <w:tc>
          <w:tcPr>
            <w:tcW w:w="916"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-0,153</w:t>
            </w:r>
          </w:p>
        </w:tc>
      </w:tr>
      <w:tr w:rsidR="00CF1999" w:rsidRPr="00851A27" w:rsidTr="005E32C9">
        <w:trPr>
          <w:trHeight w:val="300"/>
        </w:trPr>
        <w:tc>
          <w:tcPr>
            <w:tcW w:w="866"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39014</w:t>
            </w:r>
          </w:p>
        </w:tc>
        <w:tc>
          <w:tcPr>
            <w:tcW w:w="2126"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Ravenna</w:t>
            </w:r>
          </w:p>
        </w:tc>
        <w:tc>
          <w:tcPr>
            <w:tcW w:w="992"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153</w:t>
            </w:r>
            <w:r>
              <w:rPr>
                <w:rFonts w:ascii="Calibri" w:eastAsia="Times New Roman" w:hAnsi="Calibri" w:cs="Times New Roman"/>
                <w:color w:val="000000"/>
                <w:sz w:val="20"/>
                <w:szCs w:val="20"/>
                <w:lang w:eastAsia="it-IT"/>
              </w:rPr>
              <w:t>.</w:t>
            </w:r>
            <w:r w:rsidRPr="00851A27">
              <w:rPr>
                <w:rFonts w:ascii="Calibri" w:eastAsia="Times New Roman" w:hAnsi="Calibri" w:cs="Times New Roman"/>
                <w:color w:val="000000"/>
                <w:sz w:val="20"/>
                <w:szCs w:val="20"/>
                <w:lang w:eastAsia="it-IT"/>
              </w:rPr>
              <w:t>740</w:t>
            </w:r>
          </w:p>
        </w:tc>
        <w:tc>
          <w:tcPr>
            <w:tcW w:w="1418"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Ravenna</w:t>
            </w:r>
          </w:p>
        </w:tc>
        <w:tc>
          <w:tcPr>
            <w:tcW w:w="1743"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Emilia </w:t>
            </w:r>
            <w:r w:rsidRPr="00851A27">
              <w:rPr>
                <w:rFonts w:ascii="Calibri" w:eastAsia="Times New Roman" w:hAnsi="Calibri" w:cs="Times New Roman"/>
                <w:color w:val="000000"/>
                <w:sz w:val="20"/>
                <w:szCs w:val="20"/>
                <w:lang w:eastAsia="it-IT"/>
              </w:rPr>
              <w:t>Romagna</w:t>
            </w:r>
          </w:p>
        </w:tc>
        <w:tc>
          <w:tcPr>
            <w:tcW w:w="739"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54,57%</w:t>
            </w:r>
          </w:p>
        </w:tc>
        <w:tc>
          <w:tcPr>
            <w:tcW w:w="739"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56,27%</w:t>
            </w:r>
          </w:p>
        </w:tc>
        <w:tc>
          <w:tcPr>
            <w:tcW w:w="916"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-0,185</w:t>
            </w:r>
          </w:p>
        </w:tc>
      </w:tr>
      <w:tr w:rsidR="00CF1999" w:rsidRPr="00851A27" w:rsidTr="005E32C9">
        <w:trPr>
          <w:trHeight w:val="300"/>
        </w:trPr>
        <w:tc>
          <w:tcPr>
            <w:tcW w:w="86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108033</w:t>
            </w:r>
          </w:p>
        </w:tc>
        <w:tc>
          <w:tcPr>
            <w:tcW w:w="212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Monza</w:t>
            </w:r>
          </w:p>
        </w:tc>
        <w:tc>
          <w:tcPr>
            <w:tcW w:w="992"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119</w:t>
            </w:r>
            <w:r>
              <w:rPr>
                <w:rFonts w:ascii="Calibri" w:eastAsia="Times New Roman" w:hAnsi="Calibri" w:cs="Times New Roman"/>
                <w:color w:val="000000"/>
                <w:sz w:val="20"/>
                <w:szCs w:val="20"/>
                <w:lang w:eastAsia="it-IT"/>
              </w:rPr>
              <w:t>.</w:t>
            </w:r>
            <w:r w:rsidRPr="00851A27">
              <w:rPr>
                <w:rFonts w:ascii="Calibri" w:eastAsia="Times New Roman" w:hAnsi="Calibri" w:cs="Times New Roman"/>
                <w:color w:val="000000"/>
                <w:sz w:val="20"/>
                <w:szCs w:val="20"/>
                <w:lang w:eastAsia="it-IT"/>
              </w:rPr>
              <w:t>856</w:t>
            </w:r>
          </w:p>
        </w:tc>
        <w:tc>
          <w:tcPr>
            <w:tcW w:w="1418"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Monza e della Brianza</w:t>
            </w:r>
          </w:p>
        </w:tc>
        <w:tc>
          <w:tcPr>
            <w:tcW w:w="1743"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Lombardia</w:t>
            </w:r>
          </w:p>
        </w:tc>
        <w:tc>
          <w:tcPr>
            <w:tcW w:w="739"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53,95%</w:t>
            </w:r>
          </w:p>
        </w:tc>
        <w:tc>
          <w:tcPr>
            <w:tcW w:w="739"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50,63%</w:t>
            </w:r>
          </w:p>
        </w:tc>
        <w:tc>
          <w:tcPr>
            <w:tcW w:w="916" w:type="dxa"/>
            <w:tcBorders>
              <w:top w:val="nil"/>
              <w:left w:val="nil"/>
              <w:bottom w:val="nil"/>
              <w:right w:val="nil"/>
            </w:tcBorders>
            <w:shd w:val="clear" w:color="auto" w:fill="auto"/>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-0,178</w:t>
            </w:r>
          </w:p>
        </w:tc>
      </w:tr>
      <w:tr w:rsidR="00CF1999" w:rsidRPr="00851A27" w:rsidTr="005E32C9">
        <w:trPr>
          <w:trHeight w:val="300"/>
        </w:trPr>
        <w:tc>
          <w:tcPr>
            <w:tcW w:w="866"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15146</w:t>
            </w:r>
          </w:p>
        </w:tc>
        <w:tc>
          <w:tcPr>
            <w:tcW w:w="2126"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Milano</w:t>
            </w:r>
          </w:p>
        </w:tc>
        <w:tc>
          <w:tcPr>
            <w:tcW w:w="992"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1</w:t>
            </w:r>
            <w:r>
              <w:rPr>
                <w:rFonts w:ascii="Calibri" w:eastAsia="Times New Roman" w:hAnsi="Calibri" w:cs="Times New Roman"/>
                <w:color w:val="000000"/>
                <w:sz w:val="20"/>
                <w:szCs w:val="20"/>
                <w:lang w:eastAsia="it-IT"/>
              </w:rPr>
              <w:t>.</w:t>
            </w:r>
            <w:r w:rsidRPr="00851A27">
              <w:rPr>
                <w:rFonts w:ascii="Calibri" w:eastAsia="Times New Roman" w:hAnsi="Calibri" w:cs="Times New Roman"/>
                <w:color w:val="000000"/>
                <w:sz w:val="20"/>
                <w:szCs w:val="20"/>
                <w:lang w:eastAsia="it-IT"/>
              </w:rPr>
              <w:t>242</w:t>
            </w:r>
            <w:r>
              <w:rPr>
                <w:rFonts w:ascii="Calibri" w:eastAsia="Times New Roman" w:hAnsi="Calibri" w:cs="Times New Roman"/>
                <w:color w:val="000000"/>
                <w:sz w:val="20"/>
                <w:szCs w:val="20"/>
                <w:lang w:eastAsia="it-IT"/>
              </w:rPr>
              <w:t>.</w:t>
            </w:r>
            <w:r w:rsidRPr="00851A27">
              <w:rPr>
                <w:rFonts w:ascii="Calibri" w:eastAsia="Times New Roman" w:hAnsi="Calibri" w:cs="Times New Roman"/>
                <w:color w:val="000000"/>
                <w:sz w:val="20"/>
                <w:szCs w:val="20"/>
                <w:lang w:eastAsia="it-IT"/>
              </w:rPr>
              <w:t>123</w:t>
            </w:r>
          </w:p>
        </w:tc>
        <w:tc>
          <w:tcPr>
            <w:tcW w:w="1418"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Milano</w:t>
            </w:r>
          </w:p>
        </w:tc>
        <w:tc>
          <w:tcPr>
            <w:tcW w:w="1743"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Lombardia</w:t>
            </w:r>
          </w:p>
        </w:tc>
        <w:tc>
          <w:tcPr>
            <w:tcW w:w="739"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50,09%</w:t>
            </w:r>
          </w:p>
        </w:tc>
        <w:tc>
          <w:tcPr>
            <w:tcW w:w="739"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49,96%</w:t>
            </w:r>
          </w:p>
        </w:tc>
        <w:tc>
          <w:tcPr>
            <w:tcW w:w="916" w:type="dxa"/>
            <w:tcBorders>
              <w:top w:val="nil"/>
              <w:left w:val="nil"/>
              <w:bottom w:val="nil"/>
              <w:right w:val="nil"/>
            </w:tcBorders>
            <w:shd w:val="clear" w:color="000000" w:fill="C2D69A"/>
            <w:noWrap/>
            <w:vAlign w:val="bottom"/>
            <w:hideMark/>
          </w:tcPr>
          <w:p w:rsidR="00CF1999" w:rsidRPr="00851A27" w:rsidRDefault="00CF1999" w:rsidP="005E32C9">
            <w:pPr>
              <w:spacing w:after="0" w:line="240" w:lineRule="auto"/>
              <w:jc w:val="right"/>
              <w:rPr>
                <w:rFonts w:ascii="Calibri" w:eastAsia="Times New Roman" w:hAnsi="Calibri" w:cs="Times New Roman"/>
                <w:color w:val="000000"/>
                <w:sz w:val="20"/>
                <w:szCs w:val="20"/>
                <w:lang w:eastAsia="it-IT"/>
              </w:rPr>
            </w:pPr>
            <w:r w:rsidRPr="00851A27">
              <w:rPr>
                <w:rFonts w:ascii="Calibri" w:eastAsia="Times New Roman" w:hAnsi="Calibri" w:cs="Times New Roman"/>
                <w:color w:val="000000"/>
                <w:sz w:val="20"/>
                <w:szCs w:val="20"/>
                <w:lang w:eastAsia="it-IT"/>
              </w:rPr>
              <w:t>-0,166</w:t>
            </w:r>
          </w:p>
        </w:tc>
      </w:tr>
    </w:tbl>
    <w:p w:rsidR="00CF1999" w:rsidRDefault="00CF1999" w:rsidP="00CF1999">
      <w:pPr>
        <w:rPr>
          <w:bCs/>
        </w:rPr>
      </w:pPr>
    </w:p>
    <w:p w:rsidR="005E3003" w:rsidRDefault="005360F1" w:rsidP="005E3003">
      <w:pPr>
        <w:jc w:val="both"/>
        <w:rPr>
          <w:bCs/>
        </w:rPr>
      </w:pPr>
      <w:r>
        <w:rPr>
          <w:bCs/>
        </w:rPr>
        <w:lastRenderedPageBreak/>
        <w:t xml:space="preserve">Più in generale, emerge ancora </w:t>
      </w:r>
      <w:r w:rsidRPr="005360F1">
        <w:rPr>
          <w:b/>
          <w:bCs/>
        </w:rPr>
        <w:t>un grande il divario tra il Nord e il Sud del Paese</w:t>
      </w:r>
      <w:r w:rsidRPr="005360F1">
        <w:rPr>
          <w:bCs/>
        </w:rPr>
        <w:t>; il Nord si conferma in linea con gli obiettivi europei mentre il Sud continua a restare indietro.</w:t>
      </w:r>
      <w:r>
        <w:rPr>
          <w:bCs/>
        </w:rPr>
        <w:t xml:space="preserve"> </w:t>
      </w:r>
      <w:r w:rsidRPr="005360F1">
        <w:rPr>
          <w:bCs/>
        </w:rPr>
        <w:t xml:space="preserve">Fondamentale sarà per il sistema Paese riuscire </w:t>
      </w:r>
      <w:r w:rsidRPr="005360F1">
        <w:rPr>
          <w:b/>
          <w:bCs/>
        </w:rPr>
        <w:t>a colmare il gap infrastrutturale tra i territori</w:t>
      </w:r>
      <w:r w:rsidRPr="005360F1">
        <w:rPr>
          <w:bCs/>
        </w:rPr>
        <w:t xml:space="preserve"> se si vogliono raggiungere i sempre più ambiziosi obiettivi europei</w:t>
      </w:r>
      <w:r>
        <w:rPr>
          <w:bCs/>
        </w:rPr>
        <w:t>.</w:t>
      </w:r>
    </w:p>
    <w:p w:rsidR="002A2A80" w:rsidRPr="002A2A80" w:rsidRDefault="002A2A80" w:rsidP="005E3003">
      <w:pPr>
        <w:jc w:val="both"/>
        <w:rPr>
          <w:bCs/>
        </w:rPr>
      </w:pPr>
    </w:p>
    <w:p w:rsidR="005E3003" w:rsidRPr="002A2A80" w:rsidRDefault="005E3003" w:rsidP="002A2A80">
      <w:pPr>
        <w:pStyle w:val="Paragrafoelenco"/>
        <w:numPr>
          <w:ilvl w:val="0"/>
          <w:numId w:val="2"/>
        </w:numPr>
        <w:jc w:val="both"/>
        <w:rPr>
          <w:b/>
          <w:bCs/>
          <w:color w:val="FF0000"/>
          <w:sz w:val="24"/>
          <w:szCs w:val="24"/>
        </w:rPr>
      </w:pPr>
      <w:r w:rsidRPr="002A2A80">
        <w:rPr>
          <w:b/>
          <w:bCs/>
          <w:color w:val="FF0000"/>
          <w:sz w:val="24"/>
          <w:szCs w:val="24"/>
        </w:rPr>
        <w:t xml:space="preserve">La situazione delle città metropolitane </w:t>
      </w:r>
    </w:p>
    <w:p w:rsidR="005E3003" w:rsidRPr="005E3003" w:rsidRDefault="005E3003" w:rsidP="005E3003">
      <w:pPr>
        <w:jc w:val="both"/>
        <w:rPr>
          <w:bCs/>
        </w:rPr>
      </w:pPr>
      <w:r w:rsidRPr="005E3003">
        <w:rPr>
          <w:b/>
          <w:bCs/>
        </w:rPr>
        <w:t>C</w:t>
      </w:r>
      <w:r>
        <w:rPr>
          <w:b/>
          <w:bCs/>
        </w:rPr>
        <w:t>onfronto % avvio a riciclo e % raccolta differenziata</w:t>
      </w:r>
      <w:r w:rsidRPr="005E3003">
        <w:rPr>
          <w:b/>
          <w:bCs/>
        </w:rPr>
        <w:t xml:space="preserve"> per le Città Metropolitane, anno 2014</w:t>
      </w:r>
    </w:p>
    <w:tbl>
      <w:tblPr>
        <w:tblW w:w="7230" w:type="dxa"/>
        <w:jc w:val="center"/>
        <w:tblCellMar>
          <w:left w:w="70" w:type="dxa"/>
          <w:right w:w="70" w:type="dxa"/>
        </w:tblCellMar>
        <w:tblLook w:val="04A0" w:firstRow="1" w:lastRow="0" w:firstColumn="1" w:lastColumn="0" w:noHBand="0" w:noVBand="1"/>
      </w:tblPr>
      <w:tblGrid>
        <w:gridCol w:w="1985"/>
        <w:gridCol w:w="1134"/>
        <w:gridCol w:w="1559"/>
        <w:gridCol w:w="1134"/>
        <w:gridCol w:w="1418"/>
      </w:tblGrid>
      <w:tr w:rsidR="005E3003" w:rsidRPr="005E3003" w:rsidTr="005E32C9">
        <w:trPr>
          <w:trHeight w:val="540"/>
          <w:tblHeader/>
          <w:jc w:val="center"/>
        </w:trPr>
        <w:tc>
          <w:tcPr>
            <w:tcW w:w="1985" w:type="dxa"/>
            <w:tcBorders>
              <w:top w:val="single" w:sz="8" w:space="0" w:color="auto"/>
              <w:left w:val="nil"/>
              <w:bottom w:val="single" w:sz="8" w:space="0" w:color="auto"/>
              <w:right w:val="nil"/>
            </w:tcBorders>
            <w:shd w:val="clear" w:color="auto" w:fill="auto"/>
            <w:vAlign w:val="bottom"/>
            <w:hideMark/>
          </w:tcPr>
          <w:p w:rsidR="005E3003" w:rsidRPr="005E3003" w:rsidRDefault="005E3003" w:rsidP="005E3003">
            <w:pPr>
              <w:jc w:val="both"/>
              <w:rPr>
                <w:b/>
                <w:bCs/>
              </w:rPr>
            </w:pPr>
            <w:r w:rsidRPr="005E3003">
              <w:rPr>
                <w:b/>
                <w:bCs/>
              </w:rPr>
              <w:t>Città Metropolitane</w:t>
            </w:r>
          </w:p>
        </w:tc>
        <w:tc>
          <w:tcPr>
            <w:tcW w:w="1134" w:type="dxa"/>
            <w:tcBorders>
              <w:top w:val="single" w:sz="8" w:space="0" w:color="auto"/>
              <w:left w:val="nil"/>
              <w:bottom w:val="single" w:sz="8" w:space="0" w:color="auto"/>
              <w:right w:val="nil"/>
            </w:tcBorders>
            <w:shd w:val="clear" w:color="auto" w:fill="auto"/>
            <w:vAlign w:val="bottom"/>
            <w:hideMark/>
          </w:tcPr>
          <w:p w:rsidR="005E3003" w:rsidRPr="005E3003" w:rsidRDefault="005E3003" w:rsidP="005E3003">
            <w:pPr>
              <w:jc w:val="both"/>
              <w:rPr>
                <w:b/>
                <w:bCs/>
              </w:rPr>
            </w:pPr>
            <w:r w:rsidRPr="005E3003">
              <w:rPr>
                <w:b/>
                <w:bCs/>
              </w:rPr>
              <w:t>% Avvio a Riciclo</w:t>
            </w:r>
          </w:p>
        </w:tc>
        <w:tc>
          <w:tcPr>
            <w:tcW w:w="1559" w:type="dxa"/>
            <w:tcBorders>
              <w:top w:val="single" w:sz="8" w:space="0" w:color="auto"/>
              <w:left w:val="nil"/>
              <w:bottom w:val="single" w:sz="8" w:space="0" w:color="auto"/>
              <w:right w:val="nil"/>
            </w:tcBorders>
            <w:shd w:val="clear" w:color="auto" w:fill="auto"/>
            <w:vAlign w:val="bottom"/>
            <w:hideMark/>
          </w:tcPr>
          <w:p w:rsidR="005E3003" w:rsidRPr="005E3003" w:rsidRDefault="005E3003" w:rsidP="005E3003">
            <w:pPr>
              <w:jc w:val="both"/>
              <w:rPr>
                <w:b/>
                <w:bCs/>
              </w:rPr>
            </w:pPr>
            <w:r w:rsidRPr="005E3003">
              <w:rPr>
                <w:b/>
                <w:bCs/>
              </w:rPr>
              <w:t>% Avvio a Riciclo - Regione</w:t>
            </w:r>
          </w:p>
        </w:tc>
        <w:tc>
          <w:tcPr>
            <w:tcW w:w="1134" w:type="dxa"/>
            <w:tcBorders>
              <w:top w:val="single" w:sz="8" w:space="0" w:color="auto"/>
              <w:left w:val="nil"/>
              <w:bottom w:val="single" w:sz="8" w:space="0" w:color="auto"/>
              <w:right w:val="nil"/>
            </w:tcBorders>
            <w:shd w:val="clear" w:color="auto" w:fill="auto"/>
            <w:vAlign w:val="bottom"/>
            <w:hideMark/>
          </w:tcPr>
          <w:p w:rsidR="005E3003" w:rsidRPr="005E3003" w:rsidRDefault="005E3003" w:rsidP="005E3003">
            <w:pPr>
              <w:jc w:val="both"/>
              <w:rPr>
                <w:b/>
                <w:bCs/>
              </w:rPr>
            </w:pPr>
            <w:r w:rsidRPr="005E3003">
              <w:rPr>
                <w:b/>
                <w:bCs/>
              </w:rPr>
              <w:t>% RD</w:t>
            </w:r>
          </w:p>
        </w:tc>
        <w:tc>
          <w:tcPr>
            <w:tcW w:w="1418" w:type="dxa"/>
            <w:tcBorders>
              <w:top w:val="single" w:sz="8" w:space="0" w:color="auto"/>
              <w:left w:val="nil"/>
              <w:bottom w:val="single" w:sz="8" w:space="0" w:color="auto"/>
              <w:right w:val="nil"/>
            </w:tcBorders>
            <w:shd w:val="clear" w:color="auto" w:fill="auto"/>
            <w:vAlign w:val="bottom"/>
            <w:hideMark/>
          </w:tcPr>
          <w:p w:rsidR="005E3003" w:rsidRPr="005E3003" w:rsidRDefault="005E3003" w:rsidP="005E3003">
            <w:pPr>
              <w:jc w:val="both"/>
              <w:rPr>
                <w:b/>
                <w:bCs/>
              </w:rPr>
            </w:pPr>
            <w:r w:rsidRPr="005E3003">
              <w:rPr>
                <w:b/>
                <w:bCs/>
              </w:rPr>
              <w:t>% RD - Regione</w:t>
            </w:r>
          </w:p>
        </w:tc>
      </w:tr>
      <w:tr w:rsidR="005E3003" w:rsidRPr="005E3003" w:rsidTr="005E32C9">
        <w:trPr>
          <w:trHeight w:val="300"/>
          <w:jc w:val="center"/>
        </w:trPr>
        <w:tc>
          <w:tcPr>
            <w:tcW w:w="1985" w:type="dxa"/>
            <w:tcBorders>
              <w:top w:val="nil"/>
              <w:left w:val="nil"/>
              <w:bottom w:val="nil"/>
              <w:right w:val="nil"/>
            </w:tcBorders>
            <w:shd w:val="clear" w:color="auto" w:fill="EDEDED" w:themeFill="accent3" w:themeFillTint="33"/>
            <w:noWrap/>
            <w:vAlign w:val="bottom"/>
            <w:hideMark/>
          </w:tcPr>
          <w:p w:rsidR="005E3003" w:rsidRPr="005E3003" w:rsidRDefault="005E3003" w:rsidP="005E3003">
            <w:pPr>
              <w:jc w:val="both"/>
              <w:rPr>
                <w:bCs/>
              </w:rPr>
            </w:pPr>
            <w:r w:rsidRPr="005E3003">
              <w:rPr>
                <w:bCs/>
              </w:rPr>
              <w:t>Bari</w:t>
            </w:r>
          </w:p>
        </w:tc>
        <w:tc>
          <w:tcPr>
            <w:tcW w:w="1134"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26,89%</w:t>
            </w:r>
          </w:p>
        </w:tc>
        <w:tc>
          <w:tcPr>
            <w:tcW w:w="1559"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26,04%</w:t>
            </w:r>
          </w:p>
        </w:tc>
        <w:tc>
          <w:tcPr>
            <w:tcW w:w="1134"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26,09%</w:t>
            </w:r>
          </w:p>
        </w:tc>
        <w:tc>
          <w:tcPr>
            <w:tcW w:w="1418"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26,10%</w:t>
            </w:r>
          </w:p>
        </w:tc>
      </w:tr>
      <w:tr w:rsidR="005E3003" w:rsidRPr="005E3003" w:rsidTr="005E32C9">
        <w:trPr>
          <w:trHeight w:val="300"/>
          <w:jc w:val="center"/>
        </w:trPr>
        <w:tc>
          <w:tcPr>
            <w:tcW w:w="1985" w:type="dxa"/>
            <w:tcBorders>
              <w:top w:val="nil"/>
              <w:left w:val="nil"/>
              <w:bottom w:val="nil"/>
              <w:right w:val="nil"/>
            </w:tcBorders>
            <w:shd w:val="clear" w:color="auto" w:fill="auto"/>
            <w:noWrap/>
            <w:vAlign w:val="bottom"/>
            <w:hideMark/>
          </w:tcPr>
          <w:p w:rsidR="005E3003" w:rsidRPr="005E3003" w:rsidRDefault="005E3003" w:rsidP="005E3003">
            <w:pPr>
              <w:jc w:val="both"/>
              <w:rPr>
                <w:bCs/>
              </w:rPr>
            </w:pPr>
            <w:r w:rsidRPr="005E3003">
              <w:rPr>
                <w:bCs/>
              </w:rPr>
              <w:t>Bologna</w:t>
            </w:r>
          </w:p>
        </w:tc>
        <w:tc>
          <w:tcPr>
            <w:tcW w:w="1134"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44,97%</w:t>
            </w:r>
          </w:p>
        </w:tc>
        <w:tc>
          <w:tcPr>
            <w:tcW w:w="1559"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52,54%</w:t>
            </w:r>
          </w:p>
        </w:tc>
        <w:tc>
          <w:tcPr>
            <w:tcW w:w="1134"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45,29%</w:t>
            </w:r>
          </w:p>
        </w:tc>
        <w:tc>
          <w:tcPr>
            <w:tcW w:w="1418"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52,53%</w:t>
            </w:r>
          </w:p>
        </w:tc>
      </w:tr>
      <w:tr w:rsidR="005E3003" w:rsidRPr="005E3003" w:rsidTr="005E32C9">
        <w:trPr>
          <w:trHeight w:val="300"/>
          <w:jc w:val="center"/>
        </w:trPr>
        <w:tc>
          <w:tcPr>
            <w:tcW w:w="1985" w:type="dxa"/>
            <w:tcBorders>
              <w:top w:val="nil"/>
              <w:left w:val="nil"/>
              <w:bottom w:val="nil"/>
              <w:right w:val="nil"/>
            </w:tcBorders>
            <w:shd w:val="clear" w:color="auto" w:fill="EDEDED" w:themeFill="accent3" w:themeFillTint="33"/>
            <w:noWrap/>
            <w:vAlign w:val="bottom"/>
            <w:hideMark/>
          </w:tcPr>
          <w:p w:rsidR="005E3003" w:rsidRPr="005E3003" w:rsidRDefault="005E3003" w:rsidP="005E3003">
            <w:pPr>
              <w:jc w:val="both"/>
              <w:rPr>
                <w:bCs/>
              </w:rPr>
            </w:pPr>
            <w:r w:rsidRPr="005E3003">
              <w:rPr>
                <w:bCs/>
              </w:rPr>
              <w:t>Cagliari</w:t>
            </w:r>
          </w:p>
        </w:tc>
        <w:tc>
          <w:tcPr>
            <w:tcW w:w="1134"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54,69%</w:t>
            </w:r>
          </w:p>
        </w:tc>
        <w:tc>
          <w:tcPr>
            <w:tcW w:w="1559"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52,40%</w:t>
            </w:r>
          </w:p>
        </w:tc>
        <w:tc>
          <w:tcPr>
            <w:tcW w:w="1134"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59,38%</w:t>
            </w:r>
          </w:p>
        </w:tc>
        <w:tc>
          <w:tcPr>
            <w:tcW w:w="1418"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55,49%</w:t>
            </w:r>
          </w:p>
        </w:tc>
      </w:tr>
      <w:tr w:rsidR="005E3003" w:rsidRPr="005E3003" w:rsidTr="005E32C9">
        <w:trPr>
          <w:trHeight w:val="300"/>
          <w:jc w:val="center"/>
        </w:trPr>
        <w:tc>
          <w:tcPr>
            <w:tcW w:w="1985" w:type="dxa"/>
            <w:tcBorders>
              <w:top w:val="nil"/>
              <w:left w:val="nil"/>
              <w:bottom w:val="nil"/>
              <w:right w:val="nil"/>
            </w:tcBorders>
            <w:shd w:val="clear" w:color="auto" w:fill="EDEDED" w:themeFill="accent3" w:themeFillTint="33"/>
            <w:noWrap/>
            <w:vAlign w:val="bottom"/>
            <w:hideMark/>
          </w:tcPr>
          <w:p w:rsidR="005E3003" w:rsidRPr="005E3003" w:rsidRDefault="005E3003" w:rsidP="005E3003">
            <w:pPr>
              <w:jc w:val="both"/>
              <w:rPr>
                <w:bCs/>
              </w:rPr>
            </w:pPr>
            <w:r w:rsidRPr="005E3003">
              <w:rPr>
                <w:bCs/>
              </w:rPr>
              <w:t>Catania</w:t>
            </w:r>
          </w:p>
        </w:tc>
        <w:tc>
          <w:tcPr>
            <w:tcW w:w="1134"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12,66%</w:t>
            </w:r>
          </w:p>
        </w:tc>
        <w:tc>
          <w:tcPr>
            <w:tcW w:w="1559"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12,23%</w:t>
            </w:r>
          </w:p>
        </w:tc>
        <w:tc>
          <w:tcPr>
            <w:tcW w:w="1134"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12,72%</w:t>
            </w:r>
          </w:p>
        </w:tc>
        <w:tc>
          <w:tcPr>
            <w:tcW w:w="1418"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12,60%</w:t>
            </w:r>
          </w:p>
        </w:tc>
      </w:tr>
      <w:tr w:rsidR="005E3003" w:rsidRPr="005E3003" w:rsidTr="005E32C9">
        <w:trPr>
          <w:trHeight w:val="300"/>
          <w:jc w:val="center"/>
        </w:trPr>
        <w:tc>
          <w:tcPr>
            <w:tcW w:w="1985" w:type="dxa"/>
            <w:tcBorders>
              <w:top w:val="nil"/>
              <w:left w:val="nil"/>
              <w:bottom w:val="nil"/>
              <w:right w:val="nil"/>
            </w:tcBorders>
            <w:shd w:val="clear" w:color="auto" w:fill="EDEDED" w:themeFill="accent3" w:themeFillTint="33"/>
            <w:noWrap/>
            <w:vAlign w:val="bottom"/>
            <w:hideMark/>
          </w:tcPr>
          <w:p w:rsidR="005E3003" w:rsidRPr="005E3003" w:rsidRDefault="005E3003" w:rsidP="005E3003">
            <w:pPr>
              <w:jc w:val="both"/>
              <w:rPr>
                <w:bCs/>
              </w:rPr>
            </w:pPr>
            <w:r w:rsidRPr="005E3003">
              <w:rPr>
                <w:bCs/>
              </w:rPr>
              <w:t>Firenze</w:t>
            </w:r>
          </w:p>
        </w:tc>
        <w:tc>
          <w:tcPr>
            <w:tcW w:w="1134"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43,47%</w:t>
            </w:r>
          </w:p>
        </w:tc>
        <w:tc>
          <w:tcPr>
            <w:tcW w:w="1559"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40,71%</w:t>
            </w:r>
          </w:p>
        </w:tc>
        <w:tc>
          <w:tcPr>
            <w:tcW w:w="1134"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44,60%</w:t>
            </w:r>
          </w:p>
        </w:tc>
        <w:tc>
          <w:tcPr>
            <w:tcW w:w="1418"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42,01%</w:t>
            </w:r>
          </w:p>
        </w:tc>
      </w:tr>
      <w:tr w:rsidR="005E3003" w:rsidRPr="005E3003" w:rsidTr="005E32C9">
        <w:trPr>
          <w:trHeight w:val="300"/>
          <w:jc w:val="center"/>
        </w:trPr>
        <w:tc>
          <w:tcPr>
            <w:tcW w:w="1985" w:type="dxa"/>
            <w:tcBorders>
              <w:top w:val="nil"/>
              <w:left w:val="nil"/>
              <w:bottom w:val="nil"/>
              <w:right w:val="nil"/>
            </w:tcBorders>
            <w:shd w:val="clear" w:color="auto" w:fill="auto"/>
            <w:noWrap/>
            <w:vAlign w:val="bottom"/>
            <w:hideMark/>
          </w:tcPr>
          <w:p w:rsidR="005E3003" w:rsidRPr="005E3003" w:rsidRDefault="005E3003" w:rsidP="005E3003">
            <w:pPr>
              <w:jc w:val="both"/>
              <w:rPr>
                <w:bCs/>
              </w:rPr>
            </w:pPr>
            <w:r w:rsidRPr="005E3003">
              <w:rPr>
                <w:bCs/>
              </w:rPr>
              <w:t>Genova</w:t>
            </w:r>
          </w:p>
        </w:tc>
        <w:tc>
          <w:tcPr>
            <w:tcW w:w="1134"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31,63%</w:t>
            </w:r>
          </w:p>
        </w:tc>
        <w:tc>
          <w:tcPr>
            <w:tcW w:w="1559"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31,69%</w:t>
            </w:r>
          </w:p>
        </w:tc>
        <w:tc>
          <w:tcPr>
            <w:tcW w:w="1134"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36,50%</w:t>
            </w:r>
          </w:p>
        </w:tc>
        <w:tc>
          <w:tcPr>
            <w:tcW w:w="1418"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35,90%</w:t>
            </w:r>
          </w:p>
        </w:tc>
      </w:tr>
      <w:tr w:rsidR="005E3003" w:rsidRPr="005E3003" w:rsidTr="005E32C9">
        <w:trPr>
          <w:trHeight w:val="300"/>
          <w:jc w:val="center"/>
        </w:trPr>
        <w:tc>
          <w:tcPr>
            <w:tcW w:w="1985" w:type="dxa"/>
            <w:tcBorders>
              <w:top w:val="nil"/>
              <w:left w:val="nil"/>
              <w:bottom w:val="nil"/>
              <w:right w:val="nil"/>
            </w:tcBorders>
            <w:shd w:val="clear" w:color="auto" w:fill="auto"/>
            <w:noWrap/>
            <w:vAlign w:val="bottom"/>
            <w:hideMark/>
          </w:tcPr>
          <w:p w:rsidR="005E3003" w:rsidRPr="005E3003" w:rsidRDefault="005E3003" w:rsidP="005E3003">
            <w:pPr>
              <w:jc w:val="both"/>
              <w:rPr>
                <w:bCs/>
              </w:rPr>
            </w:pPr>
            <w:r w:rsidRPr="005E3003">
              <w:rPr>
                <w:bCs/>
              </w:rPr>
              <w:t>Messina</w:t>
            </w:r>
          </w:p>
        </w:tc>
        <w:tc>
          <w:tcPr>
            <w:tcW w:w="1134"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8,23%</w:t>
            </w:r>
          </w:p>
        </w:tc>
        <w:tc>
          <w:tcPr>
            <w:tcW w:w="1559"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12,23%</w:t>
            </w:r>
          </w:p>
        </w:tc>
        <w:tc>
          <w:tcPr>
            <w:tcW w:w="1134"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9,31%</w:t>
            </w:r>
          </w:p>
        </w:tc>
        <w:tc>
          <w:tcPr>
            <w:tcW w:w="1418"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12,60%</w:t>
            </w:r>
          </w:p>
        </w:tc>
      </w:tr>
      <w:tr w:rsidR="005E3003" w:rsidRPr="005E3003" w:rsidTr="005E32C9">
        <w:trPr>
          <w:trHeight w:val="300"/>
          <w:jc w:val="center"/>
        </w:trPr>
        <w:tc>
          <w:tcPr>
            <w:tcW w:w="1985" w:type="dxa"/>
            <w:tcBorders>
              <w:top w:val="nil"/>
              <w:left w:val="nil"/>
              <w:bottom w:val="nil"/>
              <w:right w:val="nil"/>
            </w:tcBorders>
            <w:shd w:val="clear" w:color="auto" w:fill="EDEDED" w:themeFill="accent3" w:themeFillTint="33"/>
            <w:noWrap/>
            <w:vAlign w:val="bottom"/>
            <w:hideMark/>
          </w:tcPr>
          <w:p w:rsidR="005E3003" w:rsidRPr="005E3003" w:rsidRDefault="005E3003" w:rsidP="005E3003">
            <w:pPr>
              <w:jc w:val="both"/>
              <w:rPr>
                <w:bCs/>
              </w:rPr>
            </w:pPr>
            <w:r w:rsidRPr="005E3003">
              <w:rPr>
                <w:bCs/>
              </w:rPr>
              <w:t>Milano</w:t>
            </w:r>
          </w:p>
        </w:tc>
        <w:tc>
          <w:tcPr>
            <w:tcW w:w="1134"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55,26%</w:t>
            </w:r>
          </w:p>
        </w:tc>
        <w:tc>
          <w:tcPr>
            <w:tcW w:w="1559"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57,02%</w:t>
            </w:r>
          </w:p>
        </w:tc>
        <w:tc>
          <w:tcPr>
            <w:tcW w:w="1134"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54,80%</w:t>
            </w:r>
          </w:p>
        </w:tc>
        <w:tc>
          <w:tcPr>
            <w:tcW w:w="1418"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56,98%</w:t>
            </w:r>
          </w:p>
        </w:tc>
      </w:tr>
      <w:tr w:rsidR="005E3003" w:rsidRPr="005E3003" w:rsidTr="005E32C9">
        <w:trPr>
          <w:trHeight w:val="300"/>
          <w:jc w:val="center"/>
        </w:trPr>
        <w:tc>
          <w:tcPr>
            <w:tcW w:w="1985" w:type="dxa"/>
            <w:tcBorders>
              <w:top w:val="nil"/>
              <w:left w:val="nil"/>
              <w:bottom w:val="nil"/>
              <w:right w:val="nil"/>
            </w:tcBorders>
            <w:shd w:val="clear" w:color="auto" w:fill="auto"/>
            <w:noWrap/>
            <w:vAlign w:val="bottom"/>
            <w:hideMark/>
          </w:tcPr>
          <w:p w:rsidR="005E3003" w:rsidRPr="005E3003" w:rsidRDefault="005E3003" w:rsidP="005E3003">
            <w:pPr>
              <w:jc w:val="both"/>
              <w:rPr>
                <w:bCs/>
              </w:rPr>
            </w:pPr>
            <w:r w:rsidRPr="005E3003">
              <w:rPr>
                <w:bCs/>
              </w:rPr>
              <w:t>Napoli</w:t>
            </w:r>
          </w:p>
        </w:tc>
        <w:tc>
          <w:tcPr>
            <w:tcW w:w="1134"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36,34%</w:t>
            </w:r>
          </w:p>
        </w:tc>
        <w:tc>
          <w:tcPr>
            <w:tcW w:w="1559"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39,17%</w:t>
            </w:r>
          </w:p>
        </w:tc>
        <w:tc>
          <w:tcPr>
            <w:tcW w:w="1134"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41,80%</w:t>
            </w:r>
          </w:p>
        </w:tc>
        <w:tc>
          <w:tcPr>
            <w:tcW w:w="1418"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43,36%</w:t>
            </w:r>
          </w:p>
        </w:tc>
      </w:tr>
      <w:tr w:rsidR="005E3003" w:rsidRPr="005E3003" w:rsidTr="005E32C9">
        <w:trPr>
          <w:trHeight w:val="300"/>
          <w:jc w:val="center"/>
        </w:trPr>
        <w:tc>
          <w:tcPr>
            <w:tcW w:w="1985" w:type="dxa"/>
            <w:tcBorders>
              <w:top w:val="nil"/>
              <w:left w:val="nil"/>
              <w:bottom w:val="nil"/>
              <w:right w:val="nil"/>
            </w:tcBorders>
            <w:shd w:val="clear" w:color="auto" w:fill="auto"/>
            <w:noWrap/>
            <w:vAlign w:val="bottom"/>
            <w:hideMark/>
          </w:tcPr>
          <w:p w:rsidR="005E3003" w:rsidRPr="005E3003" w:rsidRDefault="005E3003" w:rsidP="005E3003">
            <w:pPr>
              <w:jc w:val="both"/>
              <w:rPr>
                <w:bCs/>
              </w:rPr>
            </w:pPr>
            <w:r w:rsidRPr="005E3003">
              <w:rPr>
                <w:bCs/>
              </w:rPr>
              <w:t>Palermo</w:t>
            </w:r>
          </w:p>
        </w:tc>
        <w:tc>
          <w:tcPr>
            <w:tcW w:w="1134"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3,54%</w:t>
            </w:r>
          </w:p>
        </w:tc>
        <w:tc>
          <w:tcPr>
            <w:tcW w:w="1559"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12,23%</w:t>
            </w:r>
          </w:p>
        </w:tc>
        <w:tc>
          <w:tcPr>
            <w:tcW w:w="1134"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3,42%</w:t>
            </w:r>
          </w:p>
        </w:tc>
        <w:tc>
          <w:tcPr>
            <w:tcW w:w="1418"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12,60%</w:t>
            </w:r>
          </w:p>
        </w:tc>
      </w:tr>
      <w:tr w:rsidR="005E3003" w:rsidRPr="005E3003" w:rsidTr="005E32C9">
        <w:trPr>
          <w:trHeight w:val="300"/>
          <w:jc w:val="center"/>
        </w:trPr>
        <w:tc>
          <w:tcPr>
            <w:tcW w:w="1985" w:type="dxa"/>
            <w:tcBorders>
              <w:top w:val="nil"/>
              <w:left w:val="nil"/>
              <w:bottom w:val="nil"/>
              <w:right w:val="nil"/>
            </w:tcBorders>
            <w:shd w:val="clear" w:color="auto" w:fill="auto"/>
            <w:noWrap/>
            <w:vAlign w:val="bottom"/>
            <w:hideMark/>
          </w:tcPr>
          <w:p w:rsidR="005E3003" w:rsidRPr="005E3003" w:rsidRDefault="005E3003" w:rsidP="005E3003">
            <w:pPr>
              <w:jc w:val="both"/>
              <w:rPr>
                <w:bCs/>
              </w:rPr>
            </w:pPr>
            <w:r w:rsidRPr="005E3003">
              <w:rPr>
                <w:bCs/>
              </w:rPr>
              <w:t>Reggio di Calabria</w:t>
            </w:r>
          </w:p>
        </w:tc>
        <w:tc>
          <w:tcPr>
            <w:tcW w:w="1134"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8,47%</w:t>
            </w:r>
          </w:p>
        </w:tc>
        <w:tc>
          <w:tcPr>
            <w:tcW w:w="1559"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18,41%</w:t>
            </w:r>
          </w:p>
        </w:tc>
        <w:tc>
          <w:tcPr>
            <w:tcW w:w="1134"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8,49%</w:t>
            </w:r>
          </w:p>
        </w:tc>
        <w:tc>
          <w:tcPr>
            <w:tcW w:w="1418"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19,59%</w:t>
            </w:r>
          </w:p>
        </w:tc>
      </w:tr>
      <w:tr w:rsidR="005E3003" w:rsidRPr="005E3003" w:rsidTr="005E32C9">
        <w:trPr>
          <w:trHeight w:val="300"/>
          <w:jc w:val="center"/>
        </w:trPr>
        <w:tc>
          <w:tcPr>
            <w:tcW w:w="1985" w:type="dxa"/>
            <w:tcBorders>
              <w:top w:val="nil"/>
              <w:left w:val="nil"/>
              <w:bottom w:val="nil"/>
              <w:right w:val="nil"/>
            </w:tcBorders>
            <w:shd w:val="clear" w:color="auto" w:fill="EDEDED" w:themeFill="accent3" w:themeFillTint="33"/>
            <w:noWrap/>
            <w:vAlign w:val="bottom"/>
            <w:hideMark/>
          </w:tcPr>
          <w:p w:rsidR="005E3003" w:rsidRPr="005E3003" w:rsidRDefault="005E3003" w:rsidP="005E3003">
            <w:pPr>
              <w:jc w:val="both"/>
              <w:rPr>
                <w:bCs/>
              </w:rPr>
            </w:pPr>
            <w:r w:rsidRPr="005E3003">
              <w:rPr>
                <w:bCs/>
              </w:rPr>
              <w:t>Roma</w:t>
            </w:r>
          </w:p>
        </w:tc>
        <w:tc>
          <w:tcPr>
            <w:tcW w:w="1134"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31,79%</w:t>
            </w:r>
          </w:p>
        </w:tc>
        <w:tc>
          <w:tcPr>
            <w:tcW w:w="1559"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31,05%</w:t>
            </w:r>
          </w:p>
        </w:tc>
        <w:tc>
          <w:tcPr>
            <w:tcW w:w="1134"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33,13%</w:t>
            </w:r>
          </w:p>
        </w:tc>
        <w:tc>
          <w:tcPr>
            <w:tcW w:w="1418" w:type="dxa"/>
            <w:tcBorders>
              <w:top w:val="nil"/>
              <w:left w:val="nil"/>
              <w:bottom w:val="nil"/>
              <w:right w:val="nil"/>
            </w:tcBorders>
            <w:shd w:val="clear" w:color="auto" w:fill="EDEDED" w:themeFill="accent3" w:themeFillTint="33"/>
            <w:noWrap/>
            <w:hideMark/>
          </w:tcPr>
          <w:p w:rsidR="005E3003" w:rsidRPr="005E3003" w:rsidRDefault="005E3003" w:rsidP="005E3003">
            <w:pPr>
              <w:jc w:val="both"/>
              <w:rPr>
                <w:bCs/>
              </w:rPr>
            </w:pPr>
            <w:r w:rsidRPr="005E3003">
              <w:rPr>
                <w:bCs/>
              </w:rPr>
              <w:t>31,58%</w:t>
            </w:r>
          </w:p>
        </w:tc>
      </w:tr>
      <w:tr w:rsidR="005E3003" w:rsidRPr="005E3003" w:rsidTr="005E32C9">
        <w:trPr>
          <w:trHeight w:val="300"/>
          <w:jc w:val="center"/>
        </w:trPr>
        <w:tc>
          <w:tcPr>
            <w:tcW w:w="1985" w:type="dxa"/>
            <w:tcBorders>
              <w:top w:val="nil"/>
              <w:left w:val="nil"/>
              <w:bottom w:val="nil"/>
              <w:right w:val="nil"/>
            </w:tcBorders>
            <w:shd w:val="clear" w:color="auto" w:fill="auto"/>
            <w:noWrap/>
            <w:vAlign w:val="bottom"/>
            <w:hideMark/>
          </w:tcPr>
          <w:p w:rsidR="005E3003" w:rsidRPr="005E3003" w:rsidRDefault="005E3003" w:rsidP="005E3003">
            <w:pPr>
              <w:jc w:val="both"/>
              <w:rPr>
                <w:bCs/>
              </w:rPr>
            </w:pPr>
            <w:r w:rsidRPr="005E3003">
              <w:rPr>
                <w:bCs/>
              </w:rPr>
              <w:t xml:space="preserve">Torino                </w:t>
            </w:r>
          </w:p>
        </w:tc>
        <w:tc>
          <w:tcPr>
            <w:tcW w:w="1134"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50,50%</w:t>
            </w:r>
          </w:p>
        </w:tc>
        <w:tc>
          <w:tcPr>
            <w:tcW w:w="1559"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53,56%</w:t>
            </w:r>
          </w:p>
        </w:tc>
        <w:tc>
          <w:tcPr>
            <w:tcW w:w="1134"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50,53%</w:t>
            </w:r>
          </w:p>
        </w:tc>
        <w:tc>
          <w:tcPr>
            <w:tcW w:w="1418"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53,15%</w:t>
            </w:r>
          </w:p>
        </w:tc>
      </w:tr>
      <w:tr w:rsidR="005E3003" w:rsidRPr="005E3003" w:rsidTr="005E32C9">
        <w:trPr>
          <w:trHeight w:val="300"/>
          <w:jc w:val="center"/>
        </w:trPr>
        <w:tc>
          <w:tcPr>
            <w:tcW w:w="1985" w:type="dxa"/>
            <w:tcBorders>
              <w:top w:val="nil"/>
              <w:left w:val="nil"/>
              <w:bottom w:val="nil"/>
              <w:right w:val="nil"/>
            </w:tcBorders>
            <w:shd w:val="clear" w:color="auto" w:fill="auto"/>
            <w:noWrap/>
            <w:vAlign w:val="bottom"/>
            <w:hideMark/>
          </w:tcPr>
          <w:p w:rsidR="005E3003" w:rsidRPr="005E3003" w:rsidRDefault="005E3003" w:rsidP="005E3003">
            <w:pPr>
              <w:jc w:val="both"/>
              <w:rPr>
                <w:bCs/>
              </w:rPr>
            </w:pPr>
            <w:r w:rsidRPr="005E3003">
              <w:rPr>
                <w:bCs/>
              </w:rPr>
              <w:t>Venezia</w:t>
            </w:r>
          </w:p>
        </w:tc>
        <w:tc>
          <w:tcPr>
            <w:tcW w:w="1134"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43,79%</w:t>
            </w:r>
          </w:p>
        </w:tc>
        <w:tc>
          <w:tcPr>
            <w:tcW w:w="1559"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51,63%</w:t>
            </w:r>
          </w:p>
        </w:tc>
        <w:tc>
          <w:tcPr>
            <w:tcW w:w="1134"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42,40%</w:t>
            </w:r>
          </w:p>
        </w:tc>
        <w:tc>
          <w:tcPr>
            <w:tcW w:w="1418" w:type="dxa"/>
            <w:tcBorders>
              <w:top w:val="nil"/>
              <w:left w:val="nil"/>
              <w:bottom w:val="nil"/>
              <w:right w:val="nil"/>
            </w:tcBorders>
            <w:shd w:val="clear" w:color="auto" w:fill="auto"/>
            <w:noWrap/>
            <w:hideMark/>
          </w:tcPr>
          <w:p w:rsidR="005E3003" w:rsidRPr="005E3003" w:rsidRDefault="005E3003" w:rsidP="005E3003">
            <w:pPr>
              <w:jc w:val="both"/>
              <w:rPr>
                <w:bCs/>
              </w:rPr>
            </w:pPr>
            <w:r w:rsidRPr="005E3003">
              <w:rPr>
                <w:bCs/>
              </w:rPr>
              <w:t>51,66%</w:t>
            </w:r>
          </w:p>
        </w:tc>
      </w:tr>
    </w:tbl>
    <w:p w:rsidR="005E3003" w:rsidRPr="005E3003" w:rsidRDefault="005E3003" w:rsidP="005E3003">
      <w:pPr>
        <w:jc w:val="both"/>
        <w:rPr>
          <w:bCs/>
        </w:rPr>
      </w:pPr>
    </w:p>
    <w:p w:rsidR="005E3003" w:rsidRPr="005E3003" w:rsidRDefault="005E3003" w:rsidP="005E3003">
      <w:pPr>
        <w:jc w:val="both"/>
        <w:rPr>
          <w:bCs/>
        </w:rPr>
      </w:pPr>
      <w:r w:rsidRPr="005E3003">
        <w:rPr>
          <w:bCs/>
        </w:rPr>
        <w:t>Evidenziate sono le città metropolitane che fanno registrare una percentuale di avvio a riciclo superiore rispetto al valore medio regionale</w:t>
      </w:r>
      <w:r w:rsidRPr="005E3003">
        <w:rPr>
          <w:b/>
          <w:bCs/>
        </w:rPr>
        <w:t>. Di queste solo Cagliari, Milano e Torino hanno raggiunto e superato l’obiettivo imposto dalla normativa europea per il 2020.</w:t>
      </w:r>
    </w:p>
    <w:p w:rsidR="00AB2FD2" w:rsidRDefault="00AB2FD2" w:rsidP="00CF727C">
      <w:pPr>
        <w:jc w:val="both"/>
        <w:rPr>
          <w:bCs/>
        </w:rPr>
      </w:pPr>
    </w:p>
    <w:p w:rsidR="00A457BD" w:rsidRPr="00AB2FD2" w:rsidRDefault="00A457BD" w:rsidP="00AB2FD2">
      <w:pPr>
        <w:pStyle w:val="Paragrafoelenco"/>
        <w:numPr>
          <w:ilvl w:val="0"/>
          <w:numId w:val="2"/>
        </w:numPr>
        <w:jc w:val="both"/>
        <w:rPr>
          <w:b/>
          <w:bCs/>
          <w:color w:val="FF0000"/>
          <w:sz w:val="24"/>
        </w:rPr>
      </w:pPr>
      <w:r w:rsidRPr="00AB2FD2">
        <w:rPr>
          <w:b/>
          <w:bCs/>
          <w:color w:val="FF0000"/>
          <w:sz w:val="24"/>
        </w:rPr>
        <w:t>I vantaggi dell’Economia circolare</w:t>
      </w:r>
    </w:p>
    <w:p w:rsidR="00A457BD" w:rsidRPr="00A457BD" w:rsidRDefault="00A457BD" w:rsidP="00A457BD">
      <w:pPr>
        <w:jc w:val="both"/>
        <w:rPr>
          <w:bCs/>
        </w:rPr>
      </w:pPr>
      <w:r w:rsidRPr="00A457BD">
        <w:rPr>
          <w:bCs/>
        </w:rPr>
        <w:t>Nella definizione della nuova strategia Europa 2020, la Commissione E</w:t>
      </w:r>
      <w:r>
        <w:rPr>
          <w:bCs/>
        </w:rPr>
        <w:t>uropea</w:t>
      </w:r>
      <w:r w:rsidRPr="00A457BD">
        <w:rPr>
          <w:bCs/>
        </w:rPr>
        <w:t xml:space="preserve"> ha sviluppato un’attenta analisi di impatto che evidenzia le opportunità che si presenteranno con il passaggio all'economia </w:t>
      </w:r>
      <w:r>
        <w:rPr>
          <w:bCs/>
        </w:rPr>
        <w:t>circolare</w:t>
      </w:r>
      <w:r w:rsidRPr="00A457BD">
        <w:rPr>
          <w:bCs/>
        </w:rPr>
        <w:t>, che fa uso efficiente di risorse e energia.</w:t>
      </w:r>
      <w:r w:rsidRPr="00A457BD">
        <w:rPr>
          <w:rFonts w:eastAsiaTheme="minorEastAsia"/>
          <w:lang w:eastAsia="it-IT"/>
        </w:rPr>
        <w:t xml:space="preserve"> </w:t>
      </w:r>
      <w:r w:rsidRPr="00A457BD">
        <w:rPr>
          <w:bCs/>
        </w:rPr>
        <w:t xml:space="preserve">Secondo la Ellen MacArthur Foundation, l’attuale modello di crescita lineare è fortemente dipendente dalle risorse naturali finite cui fa affidamento (e dalla loro volatilità di prezzo), mentre </w:t>
      </w:r>
      <w:r w:rsidRPr="00A457BD">
        <w:rPr>
          <w:b/>
          <w:bCs/>
        </w:rPr>
        <w:t>un’economia circolare si tradurrebbe in 1,8 mila miliardi di euro di benefici complessivi</w:t>
      </w:r>
      <w:r w:rsidRPr="00A457BD">
        <w:rPr>
          <w:bCs/>
        </w:rPr>
        <w:t xml:space="preserve"> per l’Europa da qui al 2030, il doppio di quanto previsto rispetto al modello attuale. </w:t>
      </w:r>
      <w:r w:rsidRPr="00A457BD">
        <w:rPr>
          <w:b/>
          <w:bCs/>
        </w:rPr>
        <w:t xml:space="preserve">L’aumento del Pil sarebbe </w:t>
      </w:r>
      <w:r w:rsidRPr="00A457BD">
        <w:rPr>
          <w:b/>
          <w:bCs/>
        </w:rPr>
        <w:lastRenderedPageBreak/>
        <w:t>dell’11% contro il 4%, le emissioni di CO</w:t>
      </w:r>
      <w:r w:rsidRPr="00A457BD">
        <w:rPr>
          <w:b/>
          <w:bCs/>
          <w:vertAlign w:val="subscript"/>
        </w:rPr>
        <w:t>2</w:t>
      </w:r>
      <w:r w:rsidRPr="00A457BD">
        <w:rPr>
          <w:b/>
          <w:bCs/>
        </w:rPr>
        <w:t xml:space="preserve"> si ridurrebbero del 48% </w:t>
      </w:r>
      <w:r w:rsidRPr="00A457BD">
        <w:rPr>
          <w:bCs/>
        </w:rPr>
        <w:t>nello stesso lasso di tempo e il consumo di materie prime in molti e rilevanti settori economici potrebbe ridursi del 32% (del 53% entro il 2050).</w:t>
      </w:r>
    </w:p>
    <w:p w:rsidR="005E32C9" w:rsidRDefault="005E32C9" w:rsidP="005E32C9">
      <w:pPr>
        <w:jc w:val="both"/>
        <w:rPr>
          <w:b/>
          <w:bCs/>
        </w:rPr>
      </w:pPr>
      <w:r>
        <w:rPr>
          <w:bCs/>
        </w:rPr>
        <w:t xml:space="preserve">Dalla “Circular Economy” alla </w:t>
      </w:r>
      <w:r w:rsidRPr="005E32C9">
        <w:rPr>
          <w:b/>
          <w:bCs/>
        </w:rPr>
        <w:t>“Circular City”:</w:t>
      </w:r>
      <w:r>
        <w:rPr>
          <w:bCs/>
        </w:rPr>
        <w:t xml:space="preserve"> </w:t>
      </w:r>
      <w:r w:rsidRPr="005E32C9">
        <w:rPr>
          <w:bCs/>
        </w:rPr>
        <w:t>Le città sono il punto di partenza per attuare la transizione dall’economia lineare all'economia circolare. Esse sono i luoghi dove i prodotti vengono realizzati, consumati e scartati. La loro alta densità di popolazione e produttività industriale fanno sì che i flussi di rifiuti possono essere raccolti, trasportati e riciclati. Le città possono essere viste come i principali attori contro il riscaldamento globale e l’esaurimento delle risorse.</w:t>
      </w:r>
      <w:r w:rsidRPr="005E32C9">
        <w:rPr>
          <w:rFonts w:eastAsiaTheme="minorEastAsia"/>
          <w:lang w:eastAsia="it-IT"/>
        </w:rPr>
        <w:t xml:space="preserve"> </w:t>
      </w:r>
      <w:r w:rsidRPr="005E32C9">
        <w:rPr>
          <w:bCs/>
        </w:rPr>
        <w:t xml:space="preserve">Il principio di base della città circolare è che </w:t>
      </w:r>
      <w:r w:rsidRPr="005E32C9">
        <w:rPr>
          <w:b/>
          <w:bCs/>
        </w:rPr>
        <w:t>“</w:t>
      </w:r>
      <w:r w:rsidRPr="005E32C9">
        <w:rPr>
          <w:b/>
          <w:bCs/>
          <w:i/>
        </w:rPr>
        <w:t>tutti i flussi di prodotti e materiali possono essere reintrodotti nel ciclo dopo l'uso, e diventano risorsa per nuovi prodotti e servizi</w:t>
      </w:r>
      <w:r w:rsidRPr="005E32C9">
        <w:rPr>
          <w:b/>
          <w:bCs/>
        </w:rPr>
        <w:t xml:space="preserve">”. Ciò significa che il rifiuto in quanto tale non esiste più. </w:t>
      </w:r>
    </w:p>
    <w:p w:rsidR="005E32C9" w:rsidRPr="005E32C9" w:rsidRDefault="005E32C9" w:rsidP="005E32C9">
      <w:pPr>
        <w:jc w:val="both"/>
        <w:rPr>
          <w:b/>
          <w:bCs/>
        </w:rPr>
      </w:pPr>
      <w:r w:rsidRPr="005E32C9">
        <w:rPr>
          <w:b/>
          <w:bCs/>
        </w:rPr>
        <w:t>Green Public Procurement (GPP)</w:t>
      </w:r>
      <w:r>
        <w:rPr>
          <w:b/>
          <w:bCs/>
        </w:rPr>
        <w:t xml:space="preserve"> - </w:t>
      </w:r>
      <w:r w:rsidRPr="005E32C9">
        <w:rPr>
          <w:bCs/>
        </w:rPr>
        <w:t>I comuni da un lato confermano il loro impegno nella raccolta differenziata di qualità per l’effettivo riciclo dei materiali, e dall’altro hanno un ruolo strategico per lo sviluppo di prodotti “</w:t>
      </w:r>
      <w:r w:rsidRPr="005E32C9">
        <w:rPr>
          <w:bCs/>
          <w:i/>
          <w:iCs/>
        </w:rPr>
        <w:t>circular</w:t>
      </w:r>
      <w:r w:rsidRPr="005E32C9">
        <w:rPr>
          <w:bCs/>
        </w:rPr>
        <w:t xml:space="preserve">” attraverso l’adozione dei GPP: </w:t>
      </w:r>
      <w:r w:rsidRPr="005E32C9">
        <w:rPr>
          <w:bCs/>
          <w:i/>
        </w:rPr>
        <w:t>“[...] l’approccio in base al quale le Amministrazioni Pubbliche integrano i criteri ambientali in tutte le fasi del processo di acquisto, incoraggiando la diffusione di tecnologie ambientali e lo sviluppo di prodotti validi sotto il profilo ambientale, attraverso la ricerca e la scelta dei risultati e delle soluzioni che hanno il minore impatto possibile sull’ambiente lungo l’intero ciclo di vita”.</w:t>
      </w:r>
    </w:p>
    <w:p w:rsidR="005E32C9" w:rsidRPr="005E32C9" w:rsidRDefault="005E32C9" w:rsidP="005E32C9">
      <w:pPr>
        <w:jc w:val="both"/>
        <w:rPr>
          <w:bCs/>
        </w:rPr>
      </w:pPr>
      <w:r>
        <w:rPr>
          <w:b/>
          <w:bCs/>
        </w:rPr>
        <w:t>S</w:t>
      </w:r>
      <w:r w:rsidRPr="005E32C9">
        <w:rPr>
          <w:b/>
          <w:bCs/>
        </w:rPr>
        <w:t>olo il 9,3% dell’ammontare in valore degli appalti pubblici, pari a circa 11,5 miliardi di euro l’anno, provengono dagli acquisti verdi. Le regioni in cui è più diffusa questa pratica sono sei</w:t>
      </w:r>
      <w:r w:rsidRPr="005E32C9">
        <w:rPr>
          <w:bCs/>
        </w:rPr>
        <w:t>: Sardegna, Puglia, Toscana, Emilia Romagna, Liguria e Piemonte, ovvero quelle in cui sono stati approvati i Piani d’azione per il GPP.</w:t>
      </w:r>
      <w:r>
        <w:rPr>
          <w:bCs/>
        </w:rPr>
        <w:t xml:space="preserve"> </w:t>
      </w:r>
      <w:r w:rsidRPr="005E32C9">
        <w:rPr>
          <w:bCs/>
        </w:rPr>
        <w:t xml:space="preserve">Le </w:t>
      </w:r>
      <w:r w:rsidRPr="005E32C9">
        <w:rPr>
          <w:b/>
          <w:bCs/>
        </w:rPr>
        <w:t>categorie merceologiche</w:t>
      </w:r>
      <w:r w:rsidRPr="005E32C9">
        <w:rPr>
          <w:bCs/>
        </w:rPr>
        <w:t xml:space="preserve"> maggiormente interessate sono: prodotti elettronici, noleggio delle auto, acquisto della carta e dei servizi di ristorazione collettiva. In incremento l’arredo urbano e i servizi energetici per gli edifici.</w:t>
      </w:r>
    </w:p>
    <w:p w:rsidR="005E32C9" w:rsidRPr="005E32C9" w:rsidRDefault="005E32C9" w:rsidP="005E32C9">
      <w:pPr>
        <w:jc w:val="both"/>
        <w:rPr>
          <w:b/>
          <w:bCs/>
        </w:rPr>
      </w:pPr>
    </w:p>
    <w:p w:rsidR="005E32C9" w:rsidRPr="005E32C9" w:rsidRDefault="005E32C9" w:rsidP="005E32C9">
      <w:pPr>
        <w:jc w:val="both"/>
        <w:rPr>
          <w:bCs/>
        </w:rPr>
      </w:pPr>
    </w:p>
    <w:p w:rsidR="005E32C9" w:rsidRPr="005E32C9" w:rsidRDefault="005E32C9" w:rsidP="005E32C9">
      <w:pPr>
        <w:jc w:val="both"/>
        <w:rPr>
          <w:bCs/>
        </w:rPr>
      </w:pPr>
    </w:p>
    <w:p w:rsidR="00A457BD" w:rsidRPr="00A457BD" w:rsidRDefault="00A457BD" w:rsidP="00A457BD">
      <w:pPr>
        <w:jc w:val="both"/>
        <w:rPr>
          <w:bCs/>
        </w:rPr>
      </w:pPr>
    </w:p>
    <w:p w:rsidR="00A457BD" w:rsidRPr="00CF727C" w:rsidRDefault="00A457BD" w:rsidP="00CF727C">
      <w:pPr>
        <w:jc w:val="both"/>
        <w:rPr>
          <w:bCs/>
        </w:rPr>
      </w:pPr>
    </w:p>
    <w:p w:rsidR="00CF727C" w:rsidRPr="002802DB" w:rsidRDefault="00CF727C" w:rsidP="002802DB">
      <w:pPr>
        <w:jc w:val="both"/>
        <w:rPr>
          <w:bCs/>
        </w:rPr>
      </w:pPr>
    </w:p>
    <w:p w:rsidR="002802DB" w:rsidRPr="00183F3F" w:rsidRDefault="002802DB" w:rsidP="00183F3F">
      <w:pPr>
        <w:jc w:val="both"/>
        <w:rPr>
          <w:bCs/>
        </w:rPr>
      </w:pPr>
    </w:p>
    <w:p w:rsidR="00183F3F" w:rsidRPr="00183F3F" w:rsidRDefault="00183F3F" w:rsidP="00183F3F">
      <w:pPr>
        <w:jc w:val="both"/>
        <w:rPr>
          <w:b/>
        </w:rPr>
      </w:pPr>
    </w:p>
    <w:p w:rsidR="00183F3F" w:rsidRPr="00183F3F" w:rsidRDefault="00183F3F">
      <w:pPr>
        <w:rPr>
          <w:b/>
          <w:color w:val="FF0000"/>
          <w:sz w:val="28"/>
        </w:rPr>
      </w:pPr>
    </w:p>
    <w:sectPr w:rsidR="00183F3F" w:rsidRPr="00183F3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A2A" w:rsidRDefault="00356A2A" w:rsidP="00DE04F1">
      <w:pPr>
        <w:spacing w:after="0" w:line="240" w:lineRule="auto"/>
      </w:pPr>
      <w:r>
        <w:separator/>
      </w:r>
    </w:p>
  </w:endnote>
  <w:endnote w:type="continuationSeparator" w:id="0">
    <w:p w:rsidR="00356A2A" w:rsidRDefault="00356A2A" w:rsidP="00DE0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A2A" w:rsidRDefault="00356A2A" w:rsidP="00DE04F1">
      <w:pPr>
        <w:spacing w:after="0" w:line="240" w:lineRule="auto"/>
      </w:pPr>
      <w:r>
        <w:separator/>
      </w:r>
    </w:p>
  </w:footnote>
  <w:footnote w:type="continuationSeparator" w:id="0">
    <w:p w:rsidR="00356A2A" w:rsidRDefault="00356A2A" w:rsidP="00DE04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3299"/>
    <w:multiLevelType w:val="hybridMultilevel"/>
    <w:tmpl w:val="9F1227D6"/>
    <w:lvl w:ilvl="0" w:tplc="9D820D2C">
      <w:numFmt w:val="bullet"/>
      <w:lvlText w:val="-"/>
      <w:lvlJc w:val="left"/>
      <w:pPr>
        <w:ind w:left="405" w:hanging="360"/>
      </w:pPr>
      <w:rPr>
        <w:rFonts w:ascii="Calibri" w:eastAsia="Calibri" w:hAnsi="Calibri"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 w15:restartNumberingAfterBreak="0">
    <w:nsid w:val="1F0B319D"/>
    <w:multiLevelType w:val="hybridMultilevel"/>
    <w:tmpl w:val="D33887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C2C330B"/>
    <w:multiLevelType w:val="hybridMultilevel"/>
    <w:tmpl w:val="26B8BAFA"/>
    <w:lvl w:ilvl="0" w:tplc="97587886">
      <w:numFmt w:val="bullet"/>
      <w:lvlText w:val="-"/>
      <w:lvlJc w:val="left"/>
      <w:pPr>
        <w:ind w:left="420" w:hanging="360"/>
      </w:pPr>
      <w:rPr>
        <w:rFonts w:ascii="Calibri" w:eastAsiaTheme="minorHAnsi" w:hAnsi="Calibri" w:cstheme="minorBid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A0"/>
    <w:rsid w:val="00032588"/>
    <w:rsid w:val="000442EE"/>
    <w:rsid w:val="00126C5F"/>
    <w:rsid w:val="0014156E"/>
    <w:rsid w:val="00144912"/>
    <w:rsid w:val="00177684"/>
    <w:rsid w:val="00183F3F"/>
    <w:rsid w:val="002802DB"/>
    <w:rsid w:val="002933DD"/>
    <w:rsid w:val="002A2A80"/>
    <w:rsid w:val="002F5A31"/>
    <w:rsid w:val="00356A2A"/>
    <w:rsid w:val="00366DE9"/>
    <w:rsid w:val="003A7E7B"/>
    <w:rsid w:val="005360F1"/>
    <w:rsid w:val="005E3003"/>
    <w:rsid w:val="005E32C9"/>
    <w:rsid w:val="006228A8"/>
    <w:rsid w:val="006769BC"/>
    <w:rsid w:val="006954F5"/>
    <w:rsid w:val="00697316"/>
    <w:rsid w:val="00713E3D"/>
    <w:rsid w:val="00791C98"/>
    <w:rsid w:val="00874ACD"/>
    <w:rsid w:val="008D17E7"/>
    <w:rsid w:val="00914996"/>
    <w:rsid w:val="009560BF"/>
    <w:rsid w:val="00A457BD"/>
    <w:rsid w:val="00AA4D5B"/>
    <w:rsid w:val="00AB2FD2"/>
    <w:rsid w:val="00AC5D3B"/>
    <w:rsid w:val="00B215E1"/>
    <w:rsid w:val="00B54F43"/>
    <w:rsid w:val="00BF1251"/>
    <w:rsid w:val="00CF1999"/>
    <w:rsid w:val="00CF727C"/>
    <w:rsid w:val="00D43735"/>
    <w:rsid w:val="00DB6CD6"/>
    <w:rsid w:val="00DE04F1"/>
    <w:rsid w:val="00E84DCF"/>
    <w:rsid w:val="00F4542D"/>
    <w:rsid w:val="00F50D1E"/>
    <w:rsid w:val="00FE69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831C0A-954A-4FE1-98F5-21E88DBB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E04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04F1"/>
  </w:style>
  <w:style w:type="paragraph" w:styleId="Pidipagina">
    <w:name w:val="footer"/>
    <w:basedOn w:val="Normale"/>
    <w:link w:val="PidipaginaCarattere"/>
    <w:uiPriority w:val="99"/>
    <w:unhideWhenUsed/>
    <w:rsid w:val="00DE04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04F1"/>
  </w:style>
  <w:style w:type="paragraph" w:styleId="Paragrafoelenco">
    <w:name w:val="List Paragraph"/>
    <w:basedOn w:val="Normale"/>
    <w:uiPriority w:val="34"/>
    <w:qFormat/>
    <w:rsid w:val="00183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54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8</Pages>
  <Words>1891</Words>
  <Characters>10783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Zaccaria</dc:creator>
  <cp:keywords/>
  <dc:description/>
  <cp:lastModifiedBy>Zaccaria</cp:lastModifiedBy>
  <cp:revision>31</cp:revision>
  <dcterms:created xsi:type="dcterms:W3CDTF">2015-10-19T09:52:00Z</dcterms:created>
  <dcterms:modified xsi:type="dcterms:W3CDTF">2015-10-23T14:20:00Z</dcterms:modified>
</cp:coreProperties>
</file>