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CB" w:rsidRDefault="00FE32D1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Intervento seminario </w:t>
      </w:r>
      <w:proofErr w:type="spellStart"/>
      <w:r>
        <w:rPr>
          <w:rFonts w:ascii="Garamond" w:hAnsi="Garamond"/>
          <w:sz w:val="36"/>
          <w:szCs w:val="36"/>
        </w:rPr>
        <w:t>Aspen-Harvard-Minambiente</w:t>
      </w:r>
      <w:proofErr w:type="spellEnd"/>
    </w:p>
    <w:p w:rsidR="00FE32D1" w:rsidRPr="00FE32D1" w:rsidRDefault="00FE32D1" w:rsidP="00052B1E">
      <w:pPr>
        <w:spacing w:after="0" w:line="360" w:lineRule="auto"/>
        <w:jc w:val="both"/>
        <w:rPr>
          <w:rFonts w:ascii="Garamond" w:hAnsi="Garamond"/>
          <w:b/>
          <w:sz w:val="36"/>
          <w:szCs w:val="36"/>
        </w:rPr>
      </w:pPr>
      <w:r w:rsidRPr="00FE32D1">
        <w:rPr>
          <w:rFonts w:ascii="Garamond" w:hAnsi="Garamond"/>
          <w:b/>
          <w:sz w:val="36"/>
          <w:szCs w:val="36"/>
        </w:rPr>
        <w:t>Strategie per il clima ed economie sostenibili in Europa</w:t>
      </w:r>
    </w:p>
    <w:p w:rsidR="00FE32D1" w:rsidRDefault="00FE32D1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Conclusioni sul tema:</w:t>
      </w:r>
    </w:p>
    <w:p w:rsidR="00FE32D1" w:rsidRPr="00FE32D1" w:rsidRDefault="00FE32D1" w:rsidP="00052B1E">
      <w:pPr>
        <w:spacing w:after="0" w:line="360" w:lineRule="auto"/>
        <w:jc w:val="both"/>
        <w:rPr>
          <w:rFonts w:ascii="Garamond" w:hAnsi="Garamond"/>
          <w:b/>
          <w:sz w:val="48"/>
          <w:szCs w:val="48"/>
          <w:u w:val="single"/>
        </w:rPr>
      </w:pPr>
      <w:r w:rsidRPr="00FE32D1">
        <w:rPr>
          <w:rFonts w:ascii="Garamond" w:hAnsi="Garamond"/>
          <w:b/>
          <w:sz w:val="48"/>
          <w:szCs w:val="48"/>
          <w:u w:val="single"/>
        </w:rPr>
        <w:t>Lo sviluppo sostenibile dell’Italia</w:t>
      </w:r>
      <w:r>
        <w:rPr>
          <w:rFonts w:ascii="Garamond" w:hAnsi="Garamond"/>
          <w:b/>
          <w:sz w:val="48"/>
          <w:szCs w:val="48"/>
          <w:u w:val="single"/>
        </w:rPr>
        <w:t xml:space="preserve"> </w:t>
      </w:r>
      <w:r w:rsidRPr="00FE32D1">
        <w:rPr>
          <w:rFonts w:ascii="Garamond" w:hAnsi="Garamond"/>
          <w:b/>
          <w:sz w:val="48"/>
          <w:szCs w:val="48"/>
          <w:u w:val="single"/>
        </w:rPr>
        <w:t>nella cornice degli impegni europei e globali.</w:t>
      </w:r>
    </w:p>
    <w:p w:rsidR="00FE32D1" w:rsidRPr="00FE32D1" w:rsidRDefault="00FE32D1" w:rsidP="00052B1E">
      <w:pPr>
        <w:spacing w:after="0" w:line="360" w:lineRule="auto"/>
        <w:jc w:val="both"/>
        <w:rPr>
          <w:rFonts w:ascii="Garamond" w:hAnsi="Garamond"/>
          <w:i/>
          <w:sz w:val="36"/>
          <w:szCs w:val="36"/>
        </w:rPr>
      </w:pPr>
      <w:r>
        <w:rPr>
          <w:rFonts w:ascii="Garamond" w:hAnsi="Garamond"/>
          <w:i/>
          <w:sz w:val="36"/>
          <w:szCs w:val="36"/>
        </w:rPr>
        <w:t>Firenze, 2 luglio 2016</w:t>
      </w:r>
    </w:p>
    <w:p w:rsidR="000C01CB" w:rsidRDefault="000C01CB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</w:p>
    <w:p w:rsidR="00E8189A" w:rsidRPr="00052B1E" w:rsidRDefault="00120DF5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Ringrazio per la collaborazione e per il grande contributo </w:t>
      </w:r>
      <w:r w:rsidR="00E8189A" w:rsidRPr="00052B1E">
        <w:rPr>
          <w:rFonts w:ascii="Garamond" w:hAnsi="Garamond"/>
          <w:sz w:val="36"/>
          <w:szCs w:val="36"/>
        </w:rPr>
        <w:t xml:space="preserve">alla organizzazione e alla riuscita di questo evento </w:t>
      </w:r>
      <w:r w:rsidRPr="00052B1E">
        <w:rPr>
          <w:rFonts w:ascii="Garamond" w:hAnsi="Garamond"/>
          <w:sz w:val="36"/>
          <w:szCs w:val="36"/>
        </w:rPr>
        <w:t>l’Istituto Aspen</w:t>
      </w:r>
      <w:r w:rsidR="00E8189A" w:rsidRPr="00052B1E">
        <w:rPr>
          <w:rFonts w:ascii="Garamond" w:hAnsi="Garamond"/>
          <w:sz w:val="36"/>
          <w:szCs w:val="36"/>
        </w:rPr>
        <w:t xml:space="preserve"> e</w:t>
      </w:r>
      <w:r w:rsidRPr="00052B1E">
        <w:rPr>
          <w:rFonts w:ascii="Garamond" w:hAnsi="Garamond"/>
          <w:sz w:val="36"/>
          <w:szCs w:val="36"/>
        </w:rPr>
        <w:t xml:space="preserve"> l’Harvard Kennedy </w:t>
      </w:r>
      <w:proofErr w:type="spellStart"/>
      <w:r w:rsidRPr="00052B1E">
        <w:rPr>
          <w:rFonts w:ascii="Garamond" w:hAnsi="Garamond"/>
          <w:sz w:val="36"/>
          <w:szCs w:val="36"/>
        </w:rPr>
        <w:t>School</w:t>
      </w:r>
      <w:proofErr w:type="spellEnd"/>
      <w:r w:rsidR="00E8189A" w:rsidRPr="00052B1E">
        <w:rPr>
          <w:rFonts w:ascii="Garamond" w:hAnsi="Garamond"/>
          <w:sz w:val="36"/>
          <w:szCs w:val="36"/>
        </w:rPr>
        <w:t>.</w:t>
      </w:r>
    </w:p>
    <w:p w:rsidR="00120DF5" w:rsidRPr="00052B1E" w:rsidRDefault="00FE32D1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 n</w:t>
      </w:r>
      <w:r w:rsidR="00120DF5" w:rsidRPr="00052B1E">
        <w:rPr>
          <w:rFonts w:ascii="Garamond" w:hAnsi="Garamond"/>
          <w:sz w:val="36"/>
          <w:szCs w:val="36"/>
        </w:rPr>
        <w:t xml:space="preserve">aturalmente ringrazio il sindaco </w:t>
      </w:r>
      <w:proofErr w:type="spellStart"/>
      <w:r w:rsidR="00120DF5" w:rsidRPr="00052B1E">
        <w:rPr>
          <w:rFonts w:ascii="Garamond" w:hAnsi="Garamond"/>
          <w:sz w:val="36"/>
          <w:szCs w:val="36"/>
        </w:rPr>
        <w:t>Nardella</w:t>
      </w:r>
      <w:proofErr w:type="spellEnd"/>
      <w:r w:rsidR="00120DF5" w:rsidRPr="00052B1E">
        <w:rPr>
          <w:rFonts w:ascii="Garamond" w:hAnsi="Garamond"/>
          <w:sz w:val="36"/>
          <w:szCs w:val="36"/>
        </w:rPr>
        <w:t xml:space="preserve"> che ci ospita qui a Firenze</w:t>
      </w:r>
      <w:r w:rsidR="00E8189A" w:rsidRPr="00052B1E">
        <w:rPr>
          <w:rFonts w:ascii="Garamond" w:hAnsi="Garamond"/>
          <w:sz w:val="36"/>
          <w:szCs w:val="36"/>
        </w:rPr>
        <w:t>,</w:t>
      </w:r>
      <w:r w:rsidR="00120DF5" w:rsidRPr="00052B1E">
        <w:rPr>
          <w:rFonts w:ascii="Garamond" w:hAnsi="Garamond"/>
          <w:sz w:val="36"/>
          <w:szCs w:val="36"/>
        </w:rPr>
        <w:t xml:space="preserve"> dimostrando ancora una volta la speciale attenzione di queste città per i grandi temi ambientali.</w:t>
      </w:r>
    </w:p>
    <w:p w:rsidR="00E8189A" w:rsidRPr="00052B1E" w:rsidRDefault="00E8189A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</w:p>
    <w:p w:rsidR="00E8189A" w:rsidRPr="00052B1E" w:rsidRDefault="00E8189A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>Dedicare una due giorni alle strategie globali sui cambiamenti climatici dopo l’accordo di Parigi e allo sviluppo sostenibile in Europa è un altro importante segnale dell’attenzione che il mondo scientifico-economico e le istituzioni nazionali e internazionali dedicano al cambiamento che è stato avviato e che, dopo la COP21, è diventato impegno e prospettiva per il futuro del pianeta.</w:t>
      </w:r>
    </w:p>
    <w:p w:rsidR="00E8189A" w:rsidRPr="00052B1E" w:rsidRDefault="00E8189A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</w:p>
    <w:p w:rsidR="00977180" w:rsidRPr="00052B1E" w:rsidRDefault="00E8189A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L’Europa oggi è segnata da tensioni, da tentazioni centrifughe di cui il referendum sulla </w:t>
      </w:r>
      <w:proofErr w:type="spellStart"/>
      <w:r w:rsidRPr="00052B1E">
        <w:rPr>
          <w:rFonts w:ascii="Garamond" w:hAnsi="Garamond"/>
          <w:sz w:val="36"/>
          <w:szCs w:val="36"/>
        </w:rPr>
        <w:t>Brexit</w:t>
      </w:r>
      <w:proofErr w:type="spellEnd"/>
      <w:r w:rsidRPr="00052B1E">
        <w:rPr>
          <w:rFonts w:ascii="Garamond" w:hAnsi="Garamond"/>
          <w:sz w:val="36"/>
          <w:szCs w:val="36"/>
        </w:rPr>
        <w:t xml:space="preserve"> è stato il più eclatante ma </w:t>
      </w:r>
      <w:r w:rsidR="003314A8" w:rsidRPr="00052B1E">
        <w:rPr>
          <w:rFonts w:ascii="Garamond" w:hAnsi="Garamond"/>
          <w:sz w:val="36"/>
          <w:szCs w:val="36"/>
        </w:rPr>
        <w:t xml:space="preserve">certo </w:t>
      </w:r>
      <w:r w:rsidRPr="00052B1E">
        <w:rPr>
          <w:rFonts w:ascii="Garamond" w:hAnsi="Garamond"/>
          <w:sz w:val="36"/>
          <w:szCs w:val="36"/>
        </w:rPr>
        <w:t>non il primo né l’unico indicatore. Sembra davvero che oggi sia in discussione non</w:t>
      </w:r>
      <w:r w:rsidR="003314A8" w:rsidRPr="00052B1E">
        <w:rPr>
          <w:rFonts w:ascii="Garamond" w:hAnsi="Garamond"/>
          <w:sz w:val="36"/>
          <w:szCs w:val="36"/>
        </w:rPr>
        <w:t xml:space="preserve"> tanto </w:t>
      </w:r>
      <w:r w:rsidRPr="00052B1E">
        <w:rPr>
          <w:rFonts w:ascii="Garamond" w:hAnsi="Garamond"/>
          <w:sz w:val="36"/>
          <w:szCs w:val="36"/>
        </w:rPr>
        <w:t>il modo in cui affrontare il futuro dell’Unione</w:t>
      </w:r>
      <w:r w:rsidR="003314A8" w:rsidRPr="00052B1E">
        <w:rPr>
          <w:rFonts w:ascii="Garamond" w:hAnsi="Garamond"/>
          <w:sz w:val="36"/>
          <w:szCs w:val="36"/>
        </w:rPr>
        <w:t>,</w:t>
      </w:r>
      <w:r w:rsidRPr="00052B1E">
        <w:rPr>
          <w:rFonts w:ascii="Garamond" w:hAnsi="Garamond"/>
          <w:sz w:val="36"/>
          <w:szCs w:val="36"/>
        </w:rPr>
        <w:t xml:space="preserve"> ma piuttosto l’essenza stessa del dirsi Europei, quali siano i valori comuni e fondanti. </w:t>
      </w:r>
    </w:p>
    <w:p w:rsidR="003314A8" w:rsidRPr="00052B1E" w:rsidRDefault="00977180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>In questi mesi gli elementi sfiducia nelle istituzioni europee si sono moltiplicati:</w:t>
      </w:r>
    </w:p>
    <w:p w:rsidR="003314A8" w:rsidRPr="00052B1E" w:rsidRDefault="00E8189A" w:rsidP="00052B1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Le tragedie </w:t>
      </w:r>
      <w:r w:rsidR="003314A8" w:rsidRPr="00052B1E">
        <w:rPr>
          <w:rFonts w:ascii="Garamond" w:hAnsi="Garamond"/>
          <w:sz w:val="36"/>
          <w:szCs w:val="36"/>
        </w:rPr>
        <w:t xml:space="preserve">dei migranti sia sulla rotta </w:t>
      </w:r>
      <w:r w:rsidR="00FE32D1" w:rsidRPr="00052B1E">
        <w:rPr>
          <w:rFonts w:ascii="Garamond" w:hAnsi="Garamond"/>
          <w:sz w:val="36"/>
          <w:szCs w:val="36"/>
        </w:rPr>
        <w:t>mediterranea</w:t>
      </w:r>
      <w:r w:rsidR="003314A8" w:rsidRPr="00052B1E">
        <w:rPr>
          <w:rFonts w:ascii="Garamond" w:hAnsi="Garamond"/>
          <w:sz w:val="36"/>
          <w:szCs w:val="36"/>
        </w:rPr>
        <w:t xml:space="preserve"> che su quella balcanica cui i paesi europei non sanno dare una risposta unitaria, coesa e soprattutto umana.</w:t>
      </w:r>
    </w:p>
    <w:p w:rsidR="003314A8" w:rsidRPr="00052B1E" w:rsidRDefault="003314A8" w:rsidP="00052B1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>Le difficoltà di una economia continentale, ingessata da politiche “rigoriste”, che non riesce ad imboccare con decisione la via dello sviluppo.</w:t>
      </w:r>
    </w:p>
    <w:p w:rsidR="00E8189A" w:rsidRPr="00052B1E" w:rsidRDefault="00977180" w:rsidP="00052B1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>La sostanziale incapacità di affrontare “con una voce sola” e da protagonista le crisi del mediterraneo e del medio oriente che tanto incidono sull’Europa.</w:t>
      </w:r>
      <w:r w:rsidR="003314A8" w:rsidRPr="00052B1E">
        <w:rPr>
          <w:rFonts w:ascii="Garamond" w:hAnsi="Garamond"/>
          <w:sz w:val="36"/>
          <w:szCs w:val="36"/>
        </w:rPr>
        <w:t xml:space="preserve"> </w:t>
      </w:r>
      <w:r w:rsidR="00E8189A" w:rsidRPr="00052B1E">
        <w:rPr>
          <w:rFonts w:ascii="Garamond" w:hAnsi="Garamond"/>
          <w:sz w:val="36"/>
          <w:szCs w:val="36"/>
        </w:rPr>
        <w:t xml:space="preserve"> </w:t>
      </w:r>
    </w:p>
    <w:p w:rsidR="00977180" w:rsidRPr="00052B1E" w:rsidRDefault="00977180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>Sono tutti elementi che evidenziano limiti politici ma anche, forse</w:t>
      </w:r>
      <w:r w:rsidR="00FE32D1">
        <w:rPr>
          <w:rFonts w:ascii="Garamond" w:hAnsi="Garamond"/>
          <w:sz w:val="36"/>
          <w:szCs w:val="36"/>
        </w:rPr>
        <w:t>,</w:t>
      </w:r>
      <w:r w:rsidRPr="00052B1E">
        <w:rPr>
          <w:rFonts w:ascii="Garamond" w:hAnsi="Garamond"/>
          <w:sz w:val="36"/>
          <w:szCs w:val="36"/>
        </w:rPr>
        <w:t xml:space="preserve"> di metodo. Per questo io in questo periodo dico </w:t>
      </w:r>
      <w:r w:rsidRPr="00052B1E">
        <w:rPr>
          <w:rFonts w:ascii="Garamond" w:hAnsi="Garamond"/>
          <w:sz w:val="36"/>
          <w:szCs w:val="36"/>
        </w:rPr>
        <w:lastRenderedPageBreak/>
        <w:t xml:space="preserve">sempre e voglio ribadirlo anche oggi qui con voi che </w:t>
      </w:r>
      <w:r w:rsidRPr="00052B1E">
        <w:rPr>
          <w:rFonts w:ascii="Garamond" w:hAnsi="Garamond"/>
          <w:b/>
          <w:sz w:val="36"/>
          <w:szCs w:val="36"/>
        </w:rPr>
        <w:t>l’Europa deve ripartire dall’ambiente</w:t>
      </w:r>
      <w:r w:rsidRPr="00052B1E">
        <w:rPr>
          <w:rFonts w:ascii="Garamond" w:hAnsi="Garamond"/>
          <w:sz w:val="36"/>
          <w:szCs w:val="36"/>
        </w:rPr>
        <w:t>.</w:t>
      </w:r>
    </w:p>
    <w:p w:rsidR="00977180" w:rsidRPr="00052B1E" w:rsidRDefault="00977180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</w:p>
    <w:p w:rsidR="00E8189A" w:rsidRPr="00052B1E" w:rsidRDefault="00977180" w:rsidP="00052B1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Ripartire dall’ambiente perché è un tema, forse uno dei pochi rimasti, che </w:t>
      </w:r>
      <w:r w:rsidRPr="00052B1E">
        <w:rPr>
          <w:rFonts w:ascii="Garamond" w:hAnsi="Garamond"/>
          <w:b/>
          <w:sz w:val="36"/>
          <w:szCs w:val="36"/>
        </w:rPr>
        <w:t>unisce e non divide</w:t>
      </w:r>
      <w:r w:rsidR="00A52C4B" w:rsidRPr="00052B1E">
        <w:rPr>
          <w:rFonts w:ascii="Garamond" w:hAnsi="Garamond"/>
          <w:b/>
          <w:sz w:val="36"/>
          <w:szCs w:val="36"/>
        </w:rPr>
        <w:t xml:space="preserve"> </w:t>
      </w:r>
      <w:r w:rsidR="00A52C4B" w:rsidRPr="00052B1E">
        <w:rPr>
          <w:rFonts w:ascii="Garamond" w:hAnsi="Garamond"/>
          <w:sz w:val="36"/>
          <w:szCs w:val="36"/>
        </w:rPr>
        <w:t>l’opinione pubblica europea</w:t>
      </w:r>
      <w:r w:rsidRPr="00052B1E">
        <w:rPr>
          <w:rFonts w:ascii="Garamond" w:hAnsi="Garamond"/>
          <w:sz w:val="36"/>
          <w:szCs w:val="36"/>
        </w:rPr>
        <w:t xml:space="preserve">.  </w:t>
      </w:r>
    </w:p>
    <w:p w:rsidR="00977180" w:rsidRPr="00052B1E" w:rsidRDefault="00977180" w:rsidP="00052B1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Ripartire dall’ambiente perché su questo terreno </w:t>
      </w:r>
      <w:r w:rsidRPr="00052B1E">
        <w:rPr>
          <w:rFonts w:ascii="Garamond" w:hAnsi="Garamond"/>
          <w:b/>
          <w:sz w:val="36"/>
          <w:szCs w:val="36"/>
        </w:rPr>
        <w:t>l’Europa ha dimostrato grande capacità di intesa su soluzioni ambiziose</w:t>
      </w:r>
      <w:r w:rsidR="00A52C4B" w:rsidRPr="00052B1E">
        <w:rPr>
          <w:rFonts w:ascii="Garamond" w:hAnsi="Garamond"/>
          <w:sz w:val="36"/>
          <w:szCs w:val="36"/>
        </w:rPr>
        <w:t xml:space="preserve"> come l’impegno su clima-energia “40-27-27”, certamente il più avanzato del mondo.</w:t>
      </w:r>
    </w:p>
    <w:p w:rsidR="00A52C4B" w:rsidRPr="00052B1E" w:rsidRDefault="00A52C4B" w:rsidP="00052B1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b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Ripartire dall’ambiente perché come abbiamo dimostrato a Parigi e prima ancora a Lima con la presidenza italiana, l’Europa </w:t>
      </w:r>
      <w:r w:rsidRPr="00052B1E">
        <w:rPr>
          <w:rFonts w:ascii="Garamond" w:hAnsi="Garamond"/>
          <w:b/>
          <w:sz w:val="36"/>
          <w:szCs w:val="36"/>
        </w:rPr>
        <w:t>sui temi ambientali può spendere una leadership e una credibilità riconosciuta a livello globale.</w:t>
      </w:r>
    </w:p>
    <w:p w:rsidR="00A52C4B" w:rsidRPr="00052B1E" w:rsidRDefault="00A52C4B" w:rsidP="00052B1E">
      <w:pPr>
        <w:spacing w:after="0" w:line="360" w:lineRule="auto"/>
        <w:jc w:val="both"/>
        <w:rPr>
          <w:rFonts w:ascii="Garamond" w:hAnsi="Garamond"/>
          <w:b/>
          <w:sz w:val="36"/>
          <w:szCs w:val="36"/>
        </w:rPr>
      </w:pPr>
    </w:p>
    <w:p w:rsidR="00A52C4B" w:rsidRPr="00052B1E" w:rsidRDefault="00861E16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>L’ambiente è anche uno strumento in grado di affrontare positivamente le questioni aperte nel continente.</w:t>
      </w:r>
    </w:p>
    <w:p w:rsidR="008A4922" w:rsidRPr="00052B1E" w:rsidRDefault="00861E16" w:rsidP="008A4922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Infatti la Green Economy è il motore del nuovo sviluppo, dell’unico sviluppo possibile oggi, sia dal punto di vista economico che occupazionale se vogliamo che le giovani </w:t>
      </w:r>
      <w:r w:rsidRPr="00052B1E">
        <w:rPr>
          <w:rFonts w:ascii="Garamond" w:hAnsi="Garamond"/>
          <w:sz w:val="36"/>
          <w:szCs w:val="36"/>
        </w:rPr>
        <w:lastRenderedPageBreak/>
        <w:t>generazioni escano da un destino di precariato e si avviino verso lavori che hanno un futuro duraturo.</w:t>
      </w:r>
      <w:r w:rsidR="008A4922">
        <w:rPr>
          <w:rFonts w:ascii="Garamond" w:hAnsi="Garamond"/>
          <w:sz w:val="36"/>
          <w:szCs w:val="36"/>
        </w:rPr>
        <w:br/>
        <w:t>E credo sia giusto ricordare con orgoglio, accanto all’impegno per il futuro, quanto fatto nel recente passato che ci ha consentito di raggiungere i target assegnati all’Italia dal protocollo di Kyoto.</w:t>
      </w:r>
    </w:p>
    <w:p w:rsidR="00660150" w:rsidRPr="00052B1E" w:rsidRDefault="00660150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</w:p>
    <w:p w:rsidR="00660150" w:rsidRPr="00052B1E" w:rsidRDefault="008A4922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Ma guardiamo soprattutto avanti. </w:t>
      </w:r>
      <w:r w:rsidR="00660150" w:rsidRPr="00052B1E">
        <w:rPr>
          <w:rFonts w:ascii="Garamond" w:hAnsi="Garamond"/>
          <w:sz w:val="36"/>
          <w:szCs w:val="36"/>
        </w:rPr>
        <w:t>Lo sviluppo sostenibile, il trasferimento di tecnologie verdi, l’aiuto ai paesi del sud del mondo a costruire e far crescere una propria economia,</w:t>
      </w:r>
      <w:r w:rsidR="00861E16" w:rsidRPr="00052B1E">
        <w:rPr>
          <w:rFonts w:ascii="Garamond" w:hAnsi="Garamond"/>
          <w:sz w:val="36"/>
          <w:szCs w:val="36"/>
        </w:rPr>
        <w:t xml:space="preserve"> </w:t>
      </w:r>
      <w:r w:rsidR="00660150" w:rsidRPr="00052B1E">
        <w:rPr>
          <w:rFonts w:ascii="Garamond" w:hAnsi="Garamond"/>
          <w:sz w:val="36"/>
          <w:szCs w:val="36"/>
        </w:rPr>
        <w:t>sono le risposte che la comunità internazionale, e anche ogni persona di buon senso, individua per arginare i fenomeni migratori. Costruire migliore qualità di vita, possibilità di lavoro e crescita socioe-conomica in patria è l’unico possibile deterrente contro le migrazioni. I migranti ambientali che nei prossimi decenni potrebbero raggiungere secondo alcune stime il numero di 250 milioni sono una bomba sociale e politica che va disinnescata dando ai paesi poveri strumenti e tecnologie per uno sviluppo sostenibile.</w:t>
      </w:r>
    </w:p>
    <w:p w:rsidR="00660150" w:rsidRPr="00052B1E" w:rsidRDefault="00660150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</w:p>
    <w:p w:rsidR="00A52C4B" w:rsidRPr="00052B1E" w:rsidRDefault="00660150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lastRenderedPageBreak/>
        <w:t xml:space="preserve">Non fermeremo i migranti con i muri, con le barriere, perché non esistono barriere più forti della fame e della disperazione. </w:t>
      </w:r>
    </w:p>
    <w:p w:rsidR="00660150" w:rsidRPr="00052B1E" w:rsidRDefault="00660150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</w:p>
    <w:p w:rsidR="0013782C" w:rsidRPr="00052B1E" w:rsidRDefault="00660150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Fermeremo i migranti solo </w:t>
      </w:r>
      <w:r w:rsidR="0013782C" w:rsidRPr="00052B1E">
        <w:rPr>
          <w:rFonts w:ascii="Garamond" w:hAnsi="Garamond"/>
          <w:sz w:val="36"/>
          <w:szCs w:val="36"/>
        </w:rPr>
        <w:t>consentendo loro di costruir</w:t>
      </w:r>
      <w:r w:rsidR="008A4922">
        <w:rPr>
          <w:rFonts w:ascii="Garamond" w:hAnsi="Garamond"/>
          <w:sz w:val="36"/>
          <w:szCs w:val="36"/>
        </w:rPr>
        <w:t>e in patria ciò che cercano in E</w:t>
      </w:r>
      <w:r w:rsidR="0013782C" w:rsidRPr="00052B1E">
        <w:rPr>
          <w:rFonts w:ascii="Garamond" w:hAnsi="Garamond"/>
          <w:sz w:val="36"/>
          <w:szCs w:val="36"/>
        </w:rPr>
        <w:t xml:space="preserve">uropa: una vita migliore, pacifica, un futuro per i loro figli. Fermeremo i migranti solo aiutandoli a costruire uno sviluppo sostenibile in patria. </w:t>
      </w:r>
    </w:p>
    <w:p w:rsidR="0013782C" w:rsidRPr="00052B1E" w:rsidRDefault="0013782C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</w:p>
    <w:p w:rsidR="0013782C" w:rsidRPr="00052B1E" w:rsidRDefault="0013782C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>Esiste dunque una duplice valenza dell’impegno sulle strategie climatiche e per la crescita green. Un aspetto che riguarda ciò che possiamo e dobbiamo fare in casa nostra, nei nostri paesi, e un altro altrettanto importante che concerne ciò che possiamo, dobbiamo, ci siamo impegnati a fare per aiutare i paesi poveri, quelli nei confronti dei quali, come ci ha ricordato Papa Francesco nella sua “</w:t>
      </w:r>
      <w:proofErr w:type="spellStart"/>
      <w:r w:rsidRPr="00052B1E">
        <w:rPr>
          <w:rFonts w:ascii="Garamond" w:hAnsi="Garamond"/>
          <w:sz w:val="36"/>
          <w:szCs w:val="36"/>
        </w:rPr>
        <w:t>Laudato</w:t>
      </w:r>
      <w:proofErr w:type="spellEnd"/>
      <w:r w:rsidRPr="00052B1E">
        <w:rPr>
          <w:rFonts w:ascii="Garamond" w:hAnsi="Garamond"/>
          <w:sz w:val="36"/>
          <w:szCs w:val="36"/>
        </w:rPr>
        <w:t xml:space="preserve"> Sì”, abbiamo un “debito ambientale”.</w:t>
      </w:r>
    </w:p>
    <w:p w:rsidR="00660150" w:rsidRPr="00052B1E" w:rsidRDefault="0013782C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 </w:t>
      </w:r>
    </w:p>
    <w:p w:rsidR="00A52C4B" w:rsidRPr="00052B1E" w:rsidRDefault="0013782C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A Parigi abbiamo concordato un budget di 100 miliardi di dollari l’anno in aiuti ai paesi più a rischio climatico. </w:t>
      </w:r>
    </w:p>
    <w:p w:rsidR="0013782C" w:rsidRPr="00052B1E" w:rsidRDefault="0013782C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</w:p>
    <w:p w:rsidR="000E7B78" w:rsidRPr="00052B1E" w:rsidRDefault="0013782C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lastRenderedPageBreak/>
        <w:t xml:space="preserve">L’Italia ha già iniziato a fare la sua parte dando </w:t>
      </w:r>
      <w:r w:rsidR="000E7B78" w:rsidRPr="00052B1E">
        <w:rPr>
          <w:rFonts w:ascii="Garamond" w:hAnsi="Garamond"/>
          <w:sz w:val="36"/>
          <w:szCs w:val="36"/>
        </w:rPr>
        <w:t xml:space="preserve">ulteriore impulso al suo decennale programma di </w:t>
      </w:r>
      <w:r w:rsidR="000E7B78" w:rsidRPr="00052B1E">
        <w:rPr>
          <w:rFonts w:ascii="Garamond" w:hAnsi="Garamond"/>
          <w:b/>
          <w:sz w:val="36"/>
          <w:szCs w:val="36"/>
        </w:rPr>
        <w:t xml:space="preserve">cooperazione </w:t>
      </w:r>
      <w:r w:rsidR="008C2D2D" w:rsidRPr="00052B1E">
        <w:rPr>
          <w:rFonts w:ascii="Garamond" w:hAnsi="Garamond"/>
          <w:b/>
          <w:sz w:val="36"/>
          <w:szCs w:val="36"/>
        </w:rPr>
        <w:t xml:space="preserve">con l’Africa </w:t>
      </w:r>
      <w:r w:rsidR="000E7B78" w:rsidRPr="00052B1E">
        <w:rPr>
          <w:rFonts w:ascii="Garamond" w:hAnsi="Garamond"/>
          <w:b/>
          <w:sz w:val="36"/>
          <w:szCs w:val="36"/>
        </w:rPr>
        <w:t xml:space="preserve">con uno stanziamento complessivo di </w:t>
      </w:r>
      <w:r w:rsidR="008C2D2D" w:rsidRPr="00052B1E">
        <w:rPr>
          <w:rFonts w:ascii="Garamond" w:hAnsi="Garamond"/>
          <w:b/>
          <w:sz w:val="36"/>
          <w:szCs w:val="36"/>
        </w:rPr>
        <w:t>quasi 19</w:t>
      </w:r>
      <w:r w:rsidR="000E7B78" w:rsidRPr="00052B1E">
        <w:rPr>
          <w:rFonts w:ascii="Garamond" w:hAnsi="Garamond"/>
          <w:b/>
          <w:sz w:val="36"/>
          <w:szCs w:val="36"/>
        </w:rPr>
        <w:t xml:space="preserve"> milioni di euro. </w:t>
      </w:r>
      <w:r w:rsidR="000E7B78" w:rsidRPr="00052B1E">
        <w:rPr>
          <w:rFonts w:ascii="Garamond" w:hAnsi="Garamond"/>
          <w:sz w:val="36"/>
          <w:szCs w:val="36"/>
        </w:rPr>
        <w:t xml:space="preserve"> Abbiamo  aderito ad alcuni fondi internazionali fra i quali il Fondo per l’Energia Sostenibile</w:t>
      </w:r>
      <w:r w:rsidRPr="00052B1E">
        <w:rPr>
          <w:rFonts w:ascii="Garamond" w:hAnsi="Garamond"/>
          <w:sz w:val="36"/>
          <w:szCs w:val="36"/>
        </w:rPr>
        <w:t xml:space="preserve"> per l’Africa</w:t>
      </w:r>
      <w:r w:rsidR="000E7B78" w:rsidRPr="00052B1E">
        <w:rPr>
          <w:rFonts w:ascii="Garamond" w:hAnsi="Garamond"/>
          <w:sz w:val="36"/>
          <w:szCs w:val="36"/>
        </w:rPr>
        <w:t xml:space="preserve"> e il Fondo Africano </w:t>
      </w:r>
      <w:r w:rsidRPr="00052B1E">
        <w:rPr>
          <w:rFonts w:ascii="Garamond" w:hAnsi="Garamond"/>
          <w:sz w:val="36"/>
          <w:szCs w:val="36"/>
        </w:rPr>
        <w:t>sui Cambiamenti Climatici</w:t>
      </w:r>
      <w:r w:rsidR="000E7B78" w:rsidRPr="00052B1E">
        <w:rPr>
          <w:rFonts w:ascii="Garamond" w:hAnsi="Garamond"/>
          <w:sz w:val="36"/>
          <w:szCs w:val="36"/>
        </w:rPr>
        <w:t xml:space="preserve">, gestiti dalla Banca Africana di Sviluppo, </w:t>
      </w:r>
      <w:r w:rsidR="00052B1E">
        <w:rPr>
          <w:rFonts w:ascii="Garamond" w:hAnsi="Garamond"/>
          <w:sz w:val="36"/>
          <w:szCs w:val="36"/>
        </w:rPr>
        <w:t xml:space="preserve"> </w:t>
      </w:r>
      <w:r w:rsidR="000E7B78" w:rsidRPr="00052B1E">
        <w:rPr>
          <w:rFonts w:ascii="Garamond" w:hAnsi="Garamond"/>
          <w:sz w:val="36"/>
          <w:szCs w:val="36"/>
        </w:rPr>
        <w:t>il progra</w:t>
      </w:r>
      <w:r w:rsidR="00052B1E">
        <w:rPr>
          <w:rFonts w:ascii="Garamond" w:hAnsi="Garamond"/>
          <w:sz w:val="36"/>
          <w:szCs w:val="36"/>
        </w:rPr>
        <w:t xml:space="preserve">mma Medio Oriente e Nord Africa, </w:t>
      </w:r>
      <w:r w:rsidR="000E7B78" w:rsidRPr="00052B1E">
        <w:rPr>
          <w:rFonts w:ascii="Garamond" w:hAnsi="Garamond"/>
          <w:sz w:val="36"/>
          <w:szCs w:val="36"/>
        </w:rPr>
        <w:t>gestito dall’International Finance Corporation.</w:t>
      </w:r>
    </w:p>
    <w:p w:rsidR="0013782C" w:rsidRPr="00FE32D1" w:rsidRDefault="000E7B78" w:rsidP="00052B1E">
      <w:pPr>
        <w:spacing w:after="0" w:line="360" w:lineRule="auto"/>
        <w:jc w:val="both"/>
        <w:rPr>
          <w:rFonts w:ascii="Garamond" w:hAnsi="Garamond"/>
          <w:b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Ma non solo di investimenti pubblici l’Africa ha bisogno. La disponibilità di risorse rinnovabili permetterebbe di coprire l’intero fabbisogno energetico del continente ma </w:t>
      </w:r>
      <w:r w:rsidRPr="00FE32D1">
        <w:rPr>
          <w:rFonts w:ascii="Garamond" w:hAnsi="Garamond"/>
          <w:b/>
          <w:sz w:val="36"/>
          <w:szCs w:val="36"/>
        </w:rPr>
        <w:t xml:space="preserve">sono necessari anche significativi investimenti che devono coinvolgere il settore privato. </w:t>
      </w:r>
    </w:p>
    <w:p w:rsidR="0013782C" w:rsidRPr="00052B1E" w:rsidRDefault="0013782C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>L</w:t>
      </w:r>
      <w:r w:rsidR="000E7B78" w:rsidRPr="00052B1E">
        <w:rPr>
          <w:rFonts w:ascii="Garamond" w:hAnsi="Garamond"/>
          <w:sz w:val="36"/>
          <w:szCs w:val="36"/>
        </w:rPr>
        <w:t xml:space="preserve">’Africa </w:t>
      </w:r>
      <w:proofErr w:type="spellStart"/>
      <w:r w:rsidR="000E7B78" w:rsidRPr="00052B1E">
        <w:rPr>
          <w:rFonts w:ascii="Garamond" w:hAnsi="Garamond"/>
          <w:sz w:val="36"/>
          <w:szCs w:val="36"/>
        </w:rPr>
        <w:t>subsahariana</w:t>
      </w:r>
      <w:proofErr w:type="spellEnd"/>
      <w:r w:rsidR="000E7B78" w:rsidRPr="00052B1E">
        <w:rPr>
          <w:rFonts w:ascii="Garamond" w:hAnsi="Garamond"/>
          <w:sz w:val="36"/>
          <w:szCs w:val="36"/>
        </w:rPr>
        <w:t xml:space="preserve"> offre innumerevoli opportunità di investimento nel settore delle rinnovabili che richiamano l’attenzione delle maggiori imprese del settore, comprese quelle italiane.</w:t>
      </w:r>
    </w:p>
    <w:p w:rsidR="000E7B78" w:rsidRPr="00052B1E" w:rsidRDefault="000E7B78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La sfida è rendere l’ambiente africano una grande leva di sviluppo economico, promuovendo nuove opportunità e prospettive di lavoro attraverso lo sviluppo di tecnologie pulite, il risparmio energetico e la sinergia tra ricerca e </w:t>
      </w:r>
      <w:r w:rsidRPr="00052B1E">
        <w:rPr>
          <w:rFonts w:ascii="Garamond" w:hAnsi="Garamond"/>
          <w:sz w:val="36"/>
          <w:szCs w:val="36"/>
        </w:rPr>
        <w:lastRenderedPageBreak/>
        <w:t xml:space="preserve">industria, così come tra pubblico e privato. Vogliamo promuovere la responsabilità, sviluppare insieme politiche efficaci, permettere a tutti di essere attori chiave nella protezione dell’ambiente globale. Crediamo pertanto che, anche attraverso nuove forme di partenariato pubblico-privato, il nostro paese potrà dare </w:t>
      </w:r>
      <w:r w:rsidR="0013782C" w:rsidRPr="00052B1E">
        <w:rPr>
          <w:rFonts w:ascii="Garamond" w:hAnsi="Garamond"/>
          <w:sz w:val="36"/>
          <w:szCs w:val="36"/>
        </w:rPr>
        <w:t>importanti</w:t>
      </w:r>
      <w:r w:rsidRPr="00052B1E">
        <w:rPr>
          <w:rFonts w:ascii="Garamond" w:hAnsi="Garamond"/>
          <w:sz w:val="36"/>
          <w:szCs w:val="36"/>
        </w:rPr>
        <w:t xml:space="preserve"> contributi allo svil</w:t>
      </w:r>
      <w:r w:rsidR="0013782C" w:rsidRPr="00052B1E">
        <w:rPr>
          <w:rFonts w:ascii="Garamond" w:hAnsi="Garamond"/>
          <w:sz w:val="36"/>
          <w:szCs w:val="36"/>
        </w:rPr>
        <w:t>uppo sostenibile africano e, quindi</w:t>
      </w:r>
      <w:r w:rsidRPr="00052B1E">
        <w:rPr>
          <w:rFonts w:ascii="Garamond" w:hAnsi="Garamond"/>
          <w:sz w:val="36"/>
          <w:szCs w:val="36"/>
        </w:rPr>
        <w:t>, a quello globale.</w:t>
      </w:r>
    </w:p>
    <w:p w:rsidR="0013782C" w:rsidRPr="00052B1E" w:rsidRDefault="0013782C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</w:p>
    <w:p w:rsidR="008C2D2D" w:rsidRPr="00052B1E" w:rsidRDefault="008A4922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</w:t>
      </w:r>
      <w:r w:rsidR="008C2D2D" w:rsidRPr="00052B1E">
        <w:rPr>
          <w:rFonts w:ascii="Garamond" w:hAnsi="Garamond"/>
          <w:sz w:val="36"/>
          <w:szCs w:val="36"/>
        </w:rPr>
        <w:t>aturalmente, per ciascun paese</w:t>
      </w:r>
      <w:r>
        <w:rPr>
          <w:rFonts w:ascii="Garamond" w:hAnsi="Garamond"/>
          <w:sz w:val="36"/>
          <w:szCs w:val="36"/>
        </w:rPr>
        <w:t>,</w:t>
      </w:r>
      <w:r w:rsidR="008C2D2D" w:rsidRPr="00052B1E">
        <w:rPr>
          <w:rFonts w:ascii="Garamond" w:hAnsi="Garamond"/>
          <w:sz w:val="36"/>
          <w:szCs w:val="36"/>
        </w:rPr>
        <w:t xml:space="preserve"> </w:t>
      </w:r>
      <w:r w:rsidR="008C2D2D" w:rsidRPr="00FE32D1">
        <w:rPr>
          <w:rFonts w:ascii="Garamond" w:hAnsi="Garamond"/>
          <w:b/>
          <w:sz w:val="36"/>
          <w:szCs w:val="36"/>
        </w:rPr>
        <w:t>il lavoro più impegnativo è quello da attuare in casa propria</w:t>
      </w:r>
      <w:r w:rsidR="0095511C" w:rsidRPr="00FE32D1">
        <w:rPr>
          <w:rFonts w:ascii="Garamond" w:hAnsi="Garamond"/>
          <w:b/>
          <w:sz w:val="36"/>
          <w:szCs w:val="36"/>
        </w:rPr>
        <w:t>.</w:t>
      </w:r>
      <w:r w:rsidR="0095511C" w:rsidRPr="00052B1E">
        <w:rPr>
          <w:rFonts w:ascii="Garamond" w:hAnsi="Garamond"/>
          <w:sz w:val="36"/>
          <w:szCs w:val="36"/>
        </w:rPr>
        <w:t xml:space="preserve"> L’Italia ha imboccato con decisione e concretezza la via dello sviluppo sostenibile, mettendo in campo una pluralità di strumenti e risorse adeguate.</w:t>
      </w:r>
      <w:r w:rsidR="008C2D2D" w:rsidRPr="00052B1E">
        <w:rPr>
          <w:rFonts w:ascii="Garamond" w:hAnsi="Garamond"/>
          <w:sz w:val="36"/>
          <w:szCs w:val="36"/>
        </w:rPr>
        <w:t xml:space="preserve"> </w:t>
      </w:r>
    </w:p>
    <w:p w:rsidR="0013782C" w:rsidRPr="00052B1E" w:rsidRDefault="0013782C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</w:p>
    <w:p w:rsidR="00065C3B" w:rsidRPr="00052B1E" w:rsidRDefault="00065C3B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>Un</w:t>
      </w:r>
      <w:r w:rsidR="0095511C" w:rsidRPr="00052B1E">
        <w:rPr>
          <w:rFonts w:ascii="Garamond" w:hAnsi="Garamond"/>
          <w:sz w:val="36"/>
          <w:szCs w:val="36"/>
        </w:rPr>
        <w:t xml:space="preserve"> i</w:t>
      </w:r>
      <w:r w:rsidR="008A4922">
        <w:rPr>
          <w:rFonts w:ascii="Garamond" w:hAnsi="Garamond"/>
          <w:sz w:val="36"/>
          <w:szCs w:val="36"/>
        </w:rPr>
        <w:t>mpegno di tutto il sistema</w:t>
      </w:r>
      <w:r w:rsidRPr="00052B1E">
        <w:rPr>
          <w:rFonts w:ascii="Garamond" w:hAnsi="Garamond"/>
          <w:sz w:val="36"/>
          <w:szCs w:val="36"/>
        </w:rPr>
        <w:t xml:space="preserve"> che non può che essere coordinata e plurale come previsto nella Strategia Nazionale di adattamento agli impatti ai cambiamenti climatici  varata nel giugno del 2015 e che prevede la valutazione di impatti e vulnerabilità sulle risorse ambientali e sui comparti economici come il turismo o l’agricoltura o sui contesti sociali come le città. </w:t>
      </w:r>
    </w:p>
    <w:p w:rsidR="00065C3B" w:rsidRPr="00052B1E" w:rsidRDefault="00346875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lastRenderedPageBreak/>
        <w:t xml:space="preserve">La Strategia, </w:t>
      </w:r>
      <w:r w:rsidR="00065C3B" w:rsidRPr="00052B1E">
        <w:rPr>
          <w:rFonts w:ascii="Garamond" w:hAnsi="Garamond"/>
          <w:sz w:val="36"/>
          <w:szCs w:val="36"/>
        </w:rPr>
        <w:t>coerente con le linee guida europee p</w:t>
      </w:r>
      <w:r w:rsidR="008A4922">
        <w:rPr>
          <w:rFonts w:ascii="Garamond" w:hAnsi="Garamond"/>
          <w:sz w:val="36"/>
          <w:szCs w:val="36"/>
        </w:rPr>
        <w:t xml:space="preserve">er lo sviluppo di strategie di </w:t>
      </w:r>
      <w:r w:rsidR="00065C3B" w:rsidRPr="00052B1E">
        <w:rPr>
          <w:rFonts w:ascii="Garamond" w:hAnsi="Garamond"/>
          <w:sz w:val="36"/>
          <w:szCs w:val="36"/>
        </w:rPr>
        <w:t xml:space="preserve">adattamento emanate nel 2013, mira a rafforzare la preparazione e la capacità a rispondere agli impatti dei cambiamenti climatici a livello nazionale, regionale e locale, suggerisce la creazione di una serie di assetti istituzionali e attività organizzative, valuta i rischi e le vulnerabilità ai cambiamenti climatici, identifica le opzioni di adattamento. </w:t>
      </w:r>
    </w:p>
    <w:p w:rsidR="00065C3B" w:rsidRPr="00052B1E" w:rsidRDefault="00065C3B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Come dicevo in precedenza, a questa nuova architettura di competenze e responsabilità abbiamo messo mano e in parte l’abbiamo già attuata. </w:t>
      </w:r>
    </w:p>
    <w:p w:rsidR="00346875" w:rsidRPr="00052B1E" w:rsidRDefault="00065C3B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La Strategia dovrà essere seguita da Piani di adattamento basati principalmente sull’uso di fondi europei, in particolare della programmazione dei </w:t>
      </w:r>
      <w:r w:rsidRPr="008A4922">
        <w:rPr>
          <w:rFonts w:ascii="Garamond" w:hAnsi="Garamond"/>
          <w:b/>
          <w:sz w:val="36"/>
          <w:szCs w:val="36"/>
        </w:rPr>
        <w:t>Fondi Strutturali Europei 2014-20</w:t>
      </w:r>
      <w:r w:rsidRPr="00052B1E">
        <w:rPr>
          <w:rFonts w:ascii="Garamond" w:hAnsi="Garamond"/>
          <w:sz w:val="36"/>
          <w:szCs w:val="36"/>
        </w:rPr>
        <w:t xml:space="preserve">. </w:t>
      </w:r>
    </w:p>
    <w:p w:rsidR="00346875" w:rsidRPr="00052B1E" w:rsidRDefault="00065C3B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>Al riguardo giova ricordare che l’Accordo di Partenariato tra l'Italia e la Commiss</w:t>
      </w:r>
      <w:r w:rsidR="00346875" w:rsidRPr="00052B1E">
        <w:rPr>
          <w:rFonts w:ascii="Garamond" w:hAnsi="Garamond"/>
          <w:sz w:val="36"/>
          <w:szCs w:val="36"/>
        </w:rPr>
        <w:t>ione Europea</w:t>
      </w:r>
      <w:r w:rsidRPr="00052B1E">
        <w:rPr>
          <w:rFonts w:ascii="Garamond" w:hAnsi="Garamond"/>
          <w:sz w:val="36"/>
          <w:szCs w:val="36"/>
        </w:rPr>
        <w:t xml:space="preserve"> specifica un obiettivo tematico per l’adattamento ai cambiamenti climatici e indica </w:t>
      </w:r>
      <w:r w:rsidRPr="00052B1E">
        <w:rPr>
          <w:rFonts w:ascii="Garamond" w:hAnsi="Garamond"/>
          <w:b/>
          <w:sz w:val="36"/>
          <w:szCs w:val="36"/>
        </w:rPr>
        <w:t>una spesa di 813 milioni</w:t>
      </w:r>
      <w:r w:rsidRPr="00052B1E">
        <w:rPr>
          <w:rFonts w:ascii="Garamond" w:hAnsi="Garamond"/>
          <w:sz w:val="36"/>
          <w:szCs w:val="36"/>
        </w:rPr>
        <w:t xml:space="preserve">. </w:t>
      </w:r>
    </w:p>
    <w:p w:rsidR="00065C3B" w:rsidRDefault="00065C3B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Anche il </w:t>
      </w:r>
      <w:r w:rsidRPr="00052B1E">
        <w:rPr>
          <w:rFonts w:ascii="Garamond" w:hAnsi="Garamond"/>
          <w:b/>
          <w:sz w:val="36"/>
          <w:szCs w:val="36"/>
        </w:rPr>
        <w:t>Nuovo Programma LIFE</w:t>
      </w:r>
      <w:r w:rsidRPr="00052B1E">
        <w:rPr>
          <w:rFonts w:ascii="Garamond" w:hAnsi="Garamond"/>
          <w:sz w:val="36"/>
          <w:szCs w:val="36"/>
        </w:rPr>
        <w:t xml:space="preserve"> (2014-17) prevede un azioni per il clima tra cui l'adattamento ai cambiamenti </w:t>
      </w:r>
      <w:r w:rsidRPr="00052B1E">
        <w:rPr>
          <w:rFonts w:ascii="Garamond" w:hAnsi="Garamond"/>
          <w:sz w:val="36"/>
          <w:szCs w:val="36"/>
        </w:rPr>
        <w:lastRenderedPageBreak/>
        <w:t xml:space="preserve">climatici e azioni per l'adattamento urbano con uno </w:t>
      </w:r>
      <w:r w:rsidRPr="00052B1E">
        <w:rPr>
          <w:rFonts w:ascii="Garamond" w:hAnsi="Garamond"/>
          <w:b/>
          <w:sz w:val="36"/>
          <w:szCs w:val="36"/>
        </w:rPr>
        <w:t>stanziamento di 190 milioni</w:t>
      </w:r>
      <w:r w:rsidRPr="00052B1E">
        <w:rPr>
          <w:rFonts w:ascii="Garamond" w:hAnsi="Garamond"/>
          <w:sz w:val="36"/>
          <w:szCs w:val="36"/>
        </w:rPr>
        <w:t>.</w:t>
      </w:r>
    </w:p>
    <w:p w:rsidR="008A4922" w:rsidRPr="00052B1E" w:rsidRDefault="008A4922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</w:p>
    <w:p w:rsidR="00065C3B" w:rsidRPr="00052B1E" w:rsidRDefault="008A4922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bookmarkStart w:id="0" w:name="_GoBack"/>
      <w:bookmarkEnd w:id="0"/>
      <w:r>
        <w:rPr>
          <w:rFonts w:ascii="Garamond" w:hAnsi="Garamond"/>
          <w:sz w:val="36"/>
          <w:szCs w:val="36"/>
        </w:rPr>
        <w:t>S</w:t>
      </w:r>
      <w:r w:rsidR="00065C3B" w:rsidRPr="00052B1E">
        <w:rPr>
          <w:rFonts w:ascii="Garamond" w:hAnsi="Garamond"/>
          <w:sz w:val="36"/>
          <w:szCs w:val="36"/>
        </w:rPr>
        <w:t xml:space="preserve">tiamo </w:t>
      </w:r>
      <w:r>
        <w:rPr>
          <w:rFonts w:ascii="Garamond" w:hAnsi="Garamond"/>
          <w:sz w:val="36"/>
          <w:szCs w:val="36"/>
        </w:rPr>
        <w:t xml:space="preserve">quindi </w:t>
      </w:r>
      <w:r w:rsidR="00065C3B" w:rsidRPr="00052B1E">
        <w:rPr>
          <w:rFonts w:ascii="Garamond" w:hAnsi="Garamond"/>
          <w:sz w:val="36"/>
          <w:szCs w:val="36"/>
        </w:rPr>
        <w:t xml:space="preserve">definendo il </w:t>
      </w:r>
      <w:r w:rsidR="00065C3B" w:rsidRPr="008A4922">
        <w:rPr>
          <w:rFonts w:ascii="Garamond" w:hAnsi="Garamond"/>
          <w:b/>
          <w:sz w:val="36"/>
          <w:szCs w:val="36"/>
        </w:rPr>
        <w:t>Piano Nazionale di Adattamento ai Cambiamenti Climatici</w:t>
      </w:r>
      <w:r w:rsidR="00065C3B" w:rsidRPr="00052B1E">
        <w:rPr>
          <w:rFonts w:ascii="Garamond" w:hAnsi="Garamond"/>
          <w:sz w:val="36"/>
          <w:szCs w:val="36"/>
        </w:rPr>
        <w:t>.  Per completare il piano entro la fine dell’anno abbiamo aperto un tavolo con gli ent</w:t>
      </w:r>
      <w:r>
        <w:rPr>
          <w:rFonts w:ascii="Garamond" w:hAnsi="Garamond"/>
          <w:sz w:val="36"/>
          <w:szCs w:val="36"/>
        </w:rPr>
        <w:t xml:space="preserve">ri locali, comuni e regioni e mercoledì prossimo,  </w:t>
      </w:r>
      <w:r w:rsidRPr="008A4922">
        <w:rPr>
          <w:rFonts w:ascii="Garamond" w:hAnsi="Garamond"/>
          <w:b/>
          <w:sz w:val="36"/>
          <w:szCs w:val="36"/>
        </w:rPr>
        <w:t>il</w:t>
      </w:r>
      <w:r w:rsidR="00065C3B" w:rsidRPr="008A4922">
        <w:rPr>
          <w:rFonts w:ascii="Garamond" w:hAnsi="Garamond"/>
          <w:b/>
          <w:sz w:val="36"/>
          <w:szCs w:val="36"/>
        </w:rPr>
        <w:t xml:space="preserve"> 6 luglio</w:t>
      </w:r>
      <w:r w:rsidRPr="008A4922">
        <w:rPr>
          <w:rFonts w:ascii="Garamond" w:hAnsi="Garamond"/>
          <w:b/>
          <w:sz w:val="36"/>
          <w:szCs w:val="36"/>
        </w:rPr>
        <w:t>,</w:t>
      </w:r>
      <w:r w:rsidR="00065C3B" w:rsidRPr="008A4922">
        <w:rPr>
          <w:rFonts w:ascii="Garamond" w:hAnsi="Garamond"/>
          <w:b/>
          <w:sz w:val="36"/>
          <w:szCs w:val="36"/>
        </w:rPr>
        <w:t xml:space="preserve"> si svolgerà al </w:t>
      </w:r>
      <w:r w:rsidR="00346875" w:rsidRPr="008A4922">
        <w:rPr>
          <w:rFonts w:ascii="Garamond" w:hAnsi="Garamond"/>
          <w:b/>
          <w:sz w:val="36"/>
          <w:szCs w:val="36"/>
        </w:rPr>
        <w:t xml:space="preserve">nostro </w:t>
      </w:r>
      <w:r w:rsidR="00065C3B" w:rsidRPr="008A4922">
        <w:rPr>
          <w:rFonts w:ascii="Garamond" w:hAnsi="Garamond"/>
          <w:b/>
          <w:sz w:val="36"/>
          <w:szCs w:val="36"/>
        </w:rPr>
        <w:t>Ministero una</w:t>
      </w:r>
      <w:r>
        <w:rPr>
          <w:rFonts w:ascii="Garamond" w:hAnsi="Garamond"/>
          <w:b/>
          <w:sz w:val="36"/>
          <w:szCs w:val="36"/>
        </w:rPr>
        <w:t xml:space="preserve">  riunione con tutti i Dicasteri</w:t>
      </w:r>
      <w:r w:rsidR="00065C3B" w:rsidRPr="008A4922">
        <w:rPr>
          <w:rFonts w:ascii="Garamond" w:hAnsi="Garamond"/>
          <w:b/>
          <w:sz w:val="36"/>
          <w:szCs w:val="36"/>
        </w:rPr>
        <w:t xml:space="preserve"> interessati</w:t>
      </w:r>
      <w:r w:rsidR="00065C3B" w:rsidRPr="00052B1E">
        <w:rPr>
          <w:rFonts w:ascii="Garamond" w:hAnsi="Garamond"/>
          <w:sz w:val="36"/>
          <w:szCs w:val="36"/>
        </w:rPr>
        <w:t>.  Anche in questo caso l’approccio alle misure per mettere in sicurezza l’Italia in ambito governativo non può che essere multidisciplinare e multisettoriale. Riguarda l’ambiente, ma anche inevitabilmente</w:t>
      </w:r>
      <w:r>
        <w:rPr>
          <w:rFonts w:ascii="Garamond" w:hAnsi="Garamond"/>
          <w:sz w:val="36"/>
          <w:szCs w:val="36"/>
        </w:rPr>
        <w:t>,</w:t>
      </w:r>
      <w:r w:rsidR="00065C3B" w:rsidRPr="00052B1E">
        <w:rPr>
          <w:rFonts w:ascii="Garamond" w:hAnsi="Garamond"/>
          <w:sz w:val="36"/>
          <w:szCs w:val="36"/>
        </w:rPr>
        <w:t xml:space="preserve"> il tesoro, le infrastrutture, i beni culturali, le attività produttive e via dicendo. </w:t>
      </w:r>
    </w:p>
    <w:p w:rsidR="008A4922" w:rsidRDefault="00065C3B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Il piano conterrà gli scenari climatici per l’Italia al 2050 e al 2100, e sulla base di tali scenari e su aree climatiche omogenee indicherà le azioni nazionali per fronteggiare gli effetti del </w:t>
      </w:r>
      <w:proofErr w:type="spellStart"/>
      <w:r w:rsidRPr="00052B1E">
        <w:rPr>
          <w:rFonts w:ascii="Garamond" w:hAnsi="Garamond"/>
          <w:sz w:val="36"/>
          <w:szCs w:val="36"/>
        </w:rPr>
        <w:t>climate</w:t>
      </w:r>
      <w:proofErr w:type="spellEnd"/>
      <w:r w:rsidRPr="00052B1E">
        <w:rPr>
          <w:rFonts w:ascii="Garamond" w:hAnsi="Garamond"/>
          <w:sz w:val="36"/>
          <w:szCs w:val="36"/>
        </w:rPr>
        <w:t xml:space="preserve"> </w:t>
      </w:r>
      <w:proofErr w:type="spellStart"/>
      <w:r w:rsidRPr="00052B1E">
        <w:rPr>
          <w:rFonts w:ascii="Garamond" w:hAnsi="Garamond"/>
          <w:sz w:val="36"/>
          <w:szCs w:val="36"/>
        </w:rPr>
        <w:t>change</w:t>
      </w:r>
      <w:proofErr w:type="spellEnd"/>
      <w:r w:rsidRPr="00052B1E">
        <w:rPr>
          <w:rFonts w:ascii="Garamond" w:hAnsi="Garamond"/>
          <w:sz w:val="36"/>
          <w:szCs w:val="36"/>
        </w:rPr>
        <w:t xml:space="preserve"> e una stima delle risorse per  attuarle.</w:t>
      </w:r>
      <w:r w:rsidR="008A4922">
        <w:rPr>
          <w:rFonts w:ascii="Garamond" w:hAnsi="Garamond"/>
          <w:sz w:val="36"/>
          <w:szCs w:val="36"/>
        </w:rPr>
        <w:t xml:space="preserve">  </w:t>
      </w:r>
    </w:p>
    <w:p w:rsidR="008A4922" w:rsidRDefault="008A4922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</w:p>
    <w:p w:rsidR="00065C3B" w:rsidRPr="00052B1E" w:rsidRDefault="00346875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>In questa cornice di programmazione si inseriscono le misure già adot</w:t>
      </w:r>
      <w:r w:rsidR="008A4922">
        <w:rPr>
          <w:rFonts w:ascii="Garamond" w:hAnsi="Garamond"/>
          <w:sz w:val="36"/>
          <w:szCs w:val="36"/>
        </w:rPr>
        <w:t>ta</w:t>
      </w:r>
      <w:r w:rsidRPr="00052B1E">
        <w:rPr>
          <w:rFonts w:ascii="Garamond" w:hAnsi="Garamond"/>
          <w:sz w:val="36"/>
          <w:szCs w:val="36"/>
        </w:rPr>
        <w:t>te</w:t>
      </w:r>
      <w:r w:rsidR="0018754E" w:rsidRPr="00052B1E">
        <w:rPr>
          <w:rFonts w:ascii="Garamond" w:hAnsi="Garamond"/>
          <w:sz w:val="36"/>
          <w:szCs w:val="36"/>
        </w:rPr>
        <w:t xml:space="preserve"> per promuovere la green economy</w:t>
      </w:r>
      <w:r w:rsidRPr="00052B1E">
        <w:rPr>
          <w:rFonts w:ascii="Garamond" w:hAnsi="Garamond"/>
          <w:sz w:val="36"/>
          <w:szCs w:val="36"/>
        </w:rPr>
        <w:t>.</w:t>
      </w:r>
    </w:p>
    <w:p w:rsidR="0018754E" w:rsidRPr="00052B1E" w:rsidRDefault="0018754E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</w:p>
    <w:p w:rsidR="0018754E" w:rsidRPr="00052B1E" w:rsidRDefault="0018754E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>Abbiamo appena varato il</w:t>
      </w:r>
      <w:r w:rsidR="008A4922">
        <w:rPr>
          <w:rFonts w:ascii="Garamond" w:hAnsi="Garamond"/>
          <w:sz w:val="36"/>
          <w:szCs w:val="36"/>
        </w:rPr>
        <w:t xml:space="preserve"> nuovo</w:t>
      </w:r>
      <w:r w:rsidRPr="00052B1E">
        <w:rPr>
          <w:rFonts w:ascii="Garamond" w:hAnsi="Garamond"/>
          <w:b/>
          <w:sz w:val="36"/>
          <w:szCs w:val="36"/>
        </w:rPr>
        <w:t xml:space="preserve"> decreto per le rinnovabili</w:t>
      </w:r>
      <w:r w:rsidRPr="00052B1E">
        <w:rPr>
          <w:rFonts w:ascii="Garamond" w:hAnsi="Garamond"/>
          <w:sz w:val="36"/>
          <w:szCs w:val="36"/>
        </w:rPr>
        <w:t xml:space="preserve"> con un impegno di 435 milioni l’anno, cioè 20 miliardi in vent’anni. Venti miliardi che si aggiungono agli incentivi degli anni scorsi e ancora in atto. </w:t>
      </w:r>
    </w:p>
    <w:p w:rsidR="005A287E" w:rsidRPr="00052B1E" w:rsidRDefault="0018754E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>Va detto che dal 2015 abbiamo traguardato e superato il target europeo del 17% di consumi finali da fonti rinnovabili</w:t>
      </w:r>
      <w:r w:rsidR="005A287E" w:rsidRPr="00052B1E">
        <w:rPr>
          <w:rFonts w:ascii="Garamond" w:hAnsi="Garamond"/>
          <w:sz w:val="36"/>
          <w:szCs w:val="36"/>
        </w:rPr>
        <w:t xml:space="preserve"> peraltro </w:t>
      </w:r>
      <w:r w:rsidRPr="00052B1E">
        <w:rPr>
          <w:rFonts w:ascii="Garamond" w:hAnsi="Garamond"/>
          <w:sz w:val="36"/>
          <w:szCs w:val="36"/>
        </w:rPr>
        <w:t>da r</w:t>
      </w:r>
      <w:r w:rsidR="005A287E" w:rsidRPr="00052B1E">
        <w:rPr>
          <w:rFonts w:ascii="Garamond" w:hAnsi="Garamond"/>
          <w:sz w:val="36"/>
          <w:szCs w:val="36"/>
        </w:rPr>
        <w:t>a</w:t>
      </w:r>
      <w:r w:rsidRPr="00052B1E">
        <w:rPr>
          <w:rFonts w:ascii="Garamond" w:hAnsi="Garamond"/>
          <w:sz w:val="36"/>
          <w:szCs w:val="36"/>
        </w:rPr>
        <w:t xml:space="preserve">ggiungere entro il 2020. </w:t>
      </w:r>
      <w:r w:rsidR="005A287E" w:rsidRPr="00052B1E">
        <w:rPr>
          <w:rFonts w:ascii="Garamond" w:hAnsi="Garamond"/>
          <w:sz w:val="36"/>
          <w:szCs w:val="36"/>
        </w:rPr>
        <w:t xml:space="preserve">Ancora più avanti siamo rispetto agli obiettivi europei per il settore elettrico con il 33% del 2015 rispetto ad un obiettivo del 26,4% al 2020. </w:t>
      </w:r>
    </w:p>
    <w:p w:rsidR="005A287E" w:rsidRPr="00052B1E" w:rsidRDefault="005A287E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Con il nuovo decreto abbiamo puntato sulla generazione diffusa, sui piccoli e medi impianti, sull’autoproduzione. E se esce dal perimetro degli incentivi il fotovoltaico ampiamente promosso negli anni passati, </w:t>
      </w:r>
      <w:r w:rsidR="00AA4DFC" w:rsidRPr="00052B1E">
        <w:rPr>
          <w:rFonts w:ascii="Garamond" w:hAnsi="Garamond"/>
          <w:sz w:val="36"/>
          <w:szCs w:val="36"/>
        </w:rPr>
        <w:t xml:space="preserve">e puniamo sul solare termodinamico, sull’eolico, sulle biomasse, sul geotermico. </w:t>
      </w:r>
      <w:r w:rsidRPr="00052B1E">
        <w:rPr>
          <w:rFonts w:ascii="Garamond" w:hAnsi="Garamond"/>
          <w:sz w:val="36"/>
          <w:szCs w:val="36"/>
        </w:rPr>
        <w:t xml:space="preserve">  </w:t>
      </w:r>
    </w:p>
    <w:p w:rsidR="00AA4DFC" w:rsidRPr="00052B1E" w:rsidRDefault="005A287E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br/>
      </w:r>
      <w:r w:rsidR="00AA4DFC" w:rsidRPr="00052B1E">
        <w:rPr>
          <w:rFonts w:ascii="Garamond" w:hAnsi="Garamond"/>
          <w:sz w:val="36"/>
          <w:szCs w:val="36"/>
        </w:rPr>
        <w:t xml:space="preserve">Il 31 maggio è partito con uno stanziamento di </w:t>
      </w:r>
      <w:r w:rsidR="00AA4DFC" w:rsidRPr="00052B1E">
        <w:rPr>
          <w:rFonts w:ascii="Garamond" w:hAnsi="Garamond"/>
          <w:b/>
          <w:sz w:val="36"/>
          <w:szCs w:val="36"/>
        </w:rPr>
        <w:t>900 milioni, il Conto Termico</w:t>
      </w:r>
      <w:r w:rsidR="00AA4DFC" w:rsidRPr="00052B1E">
        <w:rPr>
          <w:rFonts w:ascii="Garamond" w:hAnsi="Garamond"/>
          <w:sz w:val="36"/>
          <w:szCs w:val="36"/>
        </w:rPr>
        <w:t xml:space="preserve"> che potenzia e semplifica il meccanismo delle agevolazioni per l’incremento dell’efficienza energetica e la produzione di energia termica da fonti rinnovabili. I beneficiari sono </w:t>
      </w:r>
      <w:r w:rsidR="00914894" w:rsidRPr="00052B1E">
        <w:rPr>
          <w:rFonts w:ascii="Garamond" w:hAnsi="Garamond"/>
          <w:sz w:val="36"/>
          <w:szCs w:val="36"/>
        </w:rPr>
        <w:t xml:space="preserve">imprese, privati e </w:t>
      </w:r>
      <w:r w:rsidR="00AA4DFC" w:rsidRPr="00052B1E">
        <w:rPr>
          <w:rFonts w:ascii="Garamond" w:hAnsi="Garamond"/>
          <w:sz w:val="36"/>
          <w:szCs w:val="36"/>
        </w:rPr>
        <w:t xml:space="preserve">Pubbliche </w:t>
      </w:r>
      <w:r w:rsidR="00AA4DFC" w:rsidRPr="00052B1E">
        <w:rPr>
          <w:rFonts w:ascii="Garamond" w:hAnsi="Garamond"/>
          <w:sz w:val="36"/>
          <w:szCs w:val="36"/>
        </w:rPr>
        <w:lastRenderedPageBreak/>
        <w:t>Amministrazioni</w:t>
      </w:r>
      <w:r w:rsidR="00914894" w:rsidRPr="00052B1E">
        <w:rPr>
          <w:rFonts w:ascii="Garamond" w:hAnsi="Garamond"/>
          <w:sz w:val="36"/>
          <w:szCs w:val="36"/>
        </w:rPr>
        <w:t xml:space="preserve"> a cui sono specificamente destinati </w:t>
      </w:r>
      <w:r w:rsidR="00AA4DFC" w:rsidRPr="00052B1E">
        <w:rPr>
          <w:rFonts w:ascii="Garamond" w:hAnsi="Garamond"/>
          <w:sz w:val="36"/>
          <w:szCs w:val="36"/>
        </w:rPr>
        <w:t xml:space="preserve">200 </w:t>
      </w:r>
      <w:r w:rsidR="00914894" w:rsidRPr="00052B1E">
        <w:rPr>
          <w:rFonts w:ascii="Garamond" w:hAnsi="Garamond"/>
          <w:sz w:val="36"/>
          <w:szCs w:val="36"/>
        </w:rPr>
        <w:t xml:space="preserve">milioni con i quali potranno essere finanziati </w:t>
      </w:r>
      <w:r w:rsidR="00AA4DFC" w:rsidRPr="00052B1E">
        <w:rPr>
          <w:rFonts w:ascii="Garamond" w:hAnsi="Garamond"/>
          <w:sz w:val="36"/>
          <w:szCs w:val="36"/>
        </w:rPr>
        <w:t xml:space="preserve"> interventi in edifici esistenti </w:t>
      </w:r>
      <w:r w:rsidR="00914894" w:rsidRPr="00052B1E">
        <w:rPr>
          <w:rFonts w:ascii="Garamond" w:hAnsi="Garamond"/>
          <w:sz w:val="36"/>
          <w:szCs w:val="36"/>
        </w:rPr>
        <w:t xml:space="preserve">e </w:t>
      </w:r>
      <w:r w:rsidR="00AA4DFC" w:rsidRPr="00052B1E">
        <w:rPr>
          <w:rFonts w:ascii="Garamond" w:hAnsi="Garamond"/>
          <w:sz w:val="36"/>
          <w:szCs w:val="36"/>
        </w:rPr>
        <w:t>sostituzione di impianti esistenti per la climatizzazione invernale con impianti a più alta efficienza come le caldaie a condensazione.</w:t>
      </w:r>
      <w:r w:rsidR="00914894" w:rsidRPr="00052B1E">
        <w:rPr>
          <w:rFonts w:ascii="Garamond" w:hAnsi="Garamond"/>
          <w:sz w:val="36"/>
          <w:szCs w:val="36"/>
        </w:rPr>
        <w:t xml:space="preserve"> </w:t>
      </w:r>
    </w:p>
    <w:p w:rsidR="00FE32D1" w:rsidRDefault="00FE32D1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</w:p>
    <w:p w:rsidR="00FE32D1" w:rsidRDefault="00914894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A questi sostegni “principali” alle rinnovabili, vanno aggiunti altri strumenti quali </w:t>
      </w:r>
      <w:r w:rsidRPr="00052B1E">
        <w:rPr>
          <w:rFonts w:ascii="Garamond" w:hAnsi="Garamond"/>
          <w:b/>
          <w:sz w:val="36"/>
          <w:szCs w:val="36"/>
        </w:rPr>
        <w:t>gli incentivi fiscali per chi installa un piccolo impianto fotovoltaico.</w:t>
      </w:r>
      <w:r w:rsidRPr="00052B1E">
        <w:rPr>
          <w:rFonts w:ascii="Garamond" w:hAnsi="Garamond"/>
          <w:sz w:val="36"/>
          <w:szCs w:val="36"/>
        </w:rPr>
        <w:t xml:space="preserve"> La Legge di Stabilità prevede infatti che gli investimenti per impianti fino a 20 kW di potenza possono continuare a beneficiare anche per il 2016 delle </w:t>
      </w:r>
      <w:r w:rsidRPr="00FE32D1">
        <w:rPr>
          <w:rFonts w:ascii="Garamond" w:hAnsi="Garamond"/>
          <w:b/>
          <w:sz w:val="36"/>
          <w:szCs w:val="36"/>
        </w:rPr>
        <w:t>detrazioni fiscali IRPEF del 50%</w:t>
      </w:r>
      <w:r w:rsidRPr="00052B1E">
        <w:rPr>
          <w:rFonts w:ascii="Garamond" w:hAnsi="Garamond"/>
          <w:sz w:val="36"/>
          <w:szCs w:val="36"/>
        </w:rPr>
        <w:t xml:space="preserve">. </w:t>
      </w:r>
    </w:p>
    <w:p w:rsidR="00914894" w:rsidRPr="00052B1E" w:rsidRDefault="00914894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E va ricordato anche </w:t>
      </w:r>
      <w:r w:rsidRPr="00052B1E">
        <w:rPr>
          <w:rFonts w:ascii="Garamond" w:hAnsi="Garamond"/>
          <w:b/>
          <w:sz w:val="36"/>
          <w:szCs w:val="36"/>
        </w:rPr>
        <w:t>lo scambio sul posto</w:t>
      </w:r>
      <w:r w:rsidRPr="00052B1E">
        <w:rPr>
          <w:rFonts w:ascii="Garamond" w:hAnsi="Garamond"/>
          <w:sz w:val="36"/>
          <w:szCs w:val="36"/>
        </w:rPr>
        <w:t>, un meccanismo che favorisce l’autoconsumo e la generazione distribuita di energia e che abbiamo contribuito a potenziare innalzando il limite di accesso che da 200 è passato a 500 kW.</w:t>
      </w:r>
    </w:p>
    <w:p w:rsidR="00914894" w:rsidRPr="00052B1E" w:rsidRDefault="00914894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Inoltre per le pubbliche amministrazioni ci ancora </w:t>
      </w:r>
      <w:r w:rsidRPr="00052B1E">
        <w:rPr>
          <w:rFonts w:ascii="Garamond" w:hAnsi="Garamond"/>
          <w:b/>
          <w:sz w:val="36"/>
          <w:szCs w:val="36"/>
        </w:rPr>
        <w:t>250 milioni del Fondo Kyoto</w:t>
      </w:r>
      <w:r w:rsidRPr="00052B1E">
        <w:rPr>
          <w:rFonts w:ascii="Garamond" w:hAnsi="Garamond"/>
          <w:sz w:val="36"/>
          <w:szCs w:val="36"/>
        </w:rPr>
        <w:t xml:space="preserve"> che finanzia con prestiti a tasso agevolato la riqualificazione energetica degli </w:t>
      </w:r>
      <w:r w:rsidRPr="00052B1E">
        <w:rPr>
          <w:rFonts w:ascii="Garamond" w:hAnsi="Garamond"/>
          <w:b/>
          <w:sz w:val="36"/>
          <w:szCs w:val="36"/>
        </w:rPr>
        <w:t>edifici scolastici e delle università</w:t>
      </w:r>
      <w:r w:rsidRPr="00052B1E">
        <w:rPr>
          <w:rFonts w:ascii="Garamond" w:hAnsi="Garamond"/>
          <w:sz w:val="36"/>
          <w:szCs w:val="36"/>
        </w:rPr>
        <w:t xml:space="preserve">. </w:t>
      </w:r>
    </w:p>
    <w:p w:rsidR="00914894" w:rsidRPr="00052B1E" w:rsidRDefault="00914894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 w:rsidRPr="00052B1E">
        <w:rPr>
          <w:rFonts w:ascii="Garamond" w:hAnsi="Garamond"/>
          <w:sz w:val="36"/>
          <w:szCs w:val="36"/>
        </w:rPr>
        <w:t xml:space="preserve">Ed a proposito di efficienza energetica va naturalmente ricordato che con la legge di stabilità abbiamo esteso a tutto </w:t>
      </w:r>
      <w:r w:rsidRPr="00052B1E">
        <w:rPr>
          <w:rFonts w:ascii="Garamond" w:hAnsi="Garamond"/>
          <w:sz w:val="36"/>
          <w:szCs w:val="36"/>
        </w:rPr>
        <w:lastRenderedPageBreak/>
        <w:t xml:space="preserve">il 2016 le </w:t>
      </w:r>
      <w:r w:rsidRPr="00052B1E">
        <w:rPr>
          <w:rFonts w:ascii="Garamond" w:hAnsi="Garamond"/>
          <w:b/>
          <w:sz w:val="36"/>
          <w:szCs w:val="36"/>
        </w:rPr>
        <w:t>detrazioni fiscali del 65% per chi migliora l'efficienza energetica degli edifici</w:t>
      </w:r>
      <w:r w:rsidRPr="00052B1E">
        <w:rPr>
          <w:rFonts w:ascii="Garamond" w:hAnsi="Garamond"/>
          <w:sz w:val="36"/>
          <w:szCs w:val="36"/>
        </w:rPr>
        <w:t xml:space="preserve">. </w:t>
      </w:r>
    </w:p>
    <w:p w:rsidR="003F2626" w:rsidRPr="00052B1E" w:rsidRDefault="00FE32D1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</w:t>
      </w:r>
      <w:r w:rsidR="003F2626" w:rsidRPr="00052B1E">
        <w:rPr>
          <w:rFonts w:ascii="Garamond" w:hAnsi="Garamond"/>
          <w:sz w:val="36"/>
          <w:szCs w:val="36"/>
        </w:rPr>
        <w:t xml:space="preserve">a </w:t>
      </w:r>
      <w:r>
        <w:rPr>
          <w:rFonts w:ascii="Garamond" w:hAnsi="Garamond"/>
          <w:sz w:val="36"/>
          <w:szCs w:val="36"/>
        </w:rPr>
        <w:t xml:space="preserve">inoltre </w:t>
      </w:r>
      <w:r w:rsidR="003F2626" w:rsidRPr="00052B1E">
        <w:rPr>
          <w:rFonts w:ascii="Garamond" w:hAnsi="Garamond"/>
          <w:sz w:val="36"/>
          <w:szCs w:val="36"/>
        </w:rPr>
        <w:t xml:space="preserve">ricordato anche l’impegno per la </w:t>
      </w:r>
      <w:r w:rsidR="003F2626" w:rsidRPr="00052B1E">
        <w:rPr>
          <w:rFonts w:ascii="Garamond" w:hAnsi="Garamond"/>
          <w:b/>
          <w:sz w:val="36"/>
          <w:szCs w:val="36"/>
        </w:rPr>
        <w:t>mobilità sostenibile con 90 milioni di euro</w:t>
      </w:r>
      <w:r w:rsidR="003F2626" w:rsidRPr="00052B1E">
        <w:rPr>
          <w:rFonts w:ascii="Garamond" w:hAnsi="Garamond"/>
          <w:sz w:val="36"/>
          <w:szCs w:val="36"/>
        </w:rPr>
        <w:t xml:space="preserve">. Si tratta di un altro tassello chiave sul quale peraltro stiamo ancora lavorando perché in Italia viviamo due conseguenza antitetiche dei cambiamenti climatici: gli eventi estremi con allagamenti e frane e la siccità con la stagnazione dell’aria e il superamento nelle grandi città e in tutta la pianura padana dei limiti di gas e particelle nocive nell’atmosfera. </w:t>
      </w:r>
    </w:p>
    <w:p w:rsidR="003F2626" w:rsidRPr="00052B1E" w:rsidRDefault="003F2626" w:rsidP="00052B1E">
      <w:pPr>
        <w:spacing w:after="0" w:line="360" w:lineRule="auto"/>
        <w:jc w:val="both"/>
        <w:rPr>
          <w:rFonts w:ascii="Garamond" w:hAnsi="Garamond"/>
          <w:sz w:val="36"/>
          <w:szCs w:val="36"/>
        </w:rPr>
      </w:pPr>
    </w:p>
    <w:p w:rsidR="003F2626" w:rsidRDefault="000C01CB" w:rsidP="00052B1E">
      <w:pPr>
        <w:pStyle w:val="CorpoA"/>
        <w:spacing w:line="360" w:lineRule="auto"/>
        <w:jc w:val="both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Insomma, e mi avvio a concludere, “L’Italia sostenibile” è in cammino,  anzi sta già correndo. </w:t>
      </w:r>
      <w:r w:rsidRPr="000C01CB">
        <w:rPr>
          <w:rFonts w:ascii="Garamond" w:hAnsi="Garamond"/>
          <w:b/>
          <w:sz w:val="36"/>
          <w:szCs w:val="36"/>
        </w:rPr>
        <w:t xml:space="preserve">La green economy, secondo gli ultimi dati occupa 3 milioni di addetti e produce oltre il 10% del PIL italiano.  </w:t>
      </w:r>
    </w:p>
    <w:p w:rsidR="000C01CB" w:rsidRDefault="000C01CB" w:rsidP="00052B1E">
      <w:pPr>
        <w:pStyle w:val="CorpoA"/>
        <w:spacing w:line="360" w:lineRule="auto"/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Ma questo è solo l’inizio del cambiamento verso un’Italia verde, de-carbonizzata, sostenibile, che non produce rifiuti ma riusa e ricicla le materie, che affronta con una </w:t>
      </w:r>
      <w:proofErr w:type="spellStart"/>
      <w:r>
        <w:rPr>
          <w:rFonts w:ascii="Garamond" w:hAnsi="Garamond"/>
          <w:sz w:val="36"/>
          <w:szCs w:val="36"/>
        </w:rPr>
        <w:t>infrastrutturazione</w:t>
      </w:r>
      <w:proofErr w:type="spellEnd"/>
      <w:r>
        <w:rPr>
          <w:rFonts w:ascii="Garamond" w:hAnsi="Garamond"/>
          <w:sz w:val="36"/>
          <w:szCs w:val="36"/>
        </w:rPr>
        <w:t xml:space="preserve">  adeguata le sfide del clima. </w:t>
      </w:r>
    </w:p>
    <w:p w:rsidR="000C01CB" w:rsidRPr="000C01CB" w:rsidRDefault="000C01CB" w:rsidP="00052B1E">
      <w:pPr>
        <w:pStyle w:val="CorpoA"/>
        <w:spacing w:line="360" w:lineRule="auto"/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Questo è solo l’inizio di un futuro che confidiamo migliore per l’Italia e per l’Europa.</w:t>
      </w:r>
    </w:p>
    <w:sectPr w:rsidR="000C01CB" w:rsidRPr="000C01CB" w:rsidSect="00E8189A">
      <w:headerReference w:type="default" r:id="rId8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14F" w:rsidRDefault="00F4114F" w:rsidP="00534D92">
      <w:pPr>
        <w:spacing w:after="0" w:line="240" w:lineRule="auto"/>
      </w:pPr>
      <w:r>
        <w:separator/>
      </w:r>
    </w:p>
  </w:endnote>
  <w:endnote w:type="continuationSeparator" w:id="0">
    <w:p w:rsidR="00F4114F" w:rsidRDefault="00F4114F" w:rsidP="0053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14F" w:rsidRDefault="00F4114F" w:rsidP="00534D92">
      <w:pPr>
        <w:spacing w:after="0" w:line="240" w:lineRule="auto"/>
      </w:pPr>
      <w:r>
        <w:separator/>
      </w:r>
    </w:p>
  </w:footnote>
  <w:footnote w:type="continuationSeparator" w:id="0">
    <w:p w:rsidR="00F4114F" w:rsidRDefault="00F4114F" w:rsidP="0053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279660"/>
      <w:docPartObj>
        <w:docPartGallery w:val="Page Numbers (Top of Page)"/>
        <w:docPartUnique/>
      </w:docPartObj>
    </w:sdtPr>
    <w:sdtContent>
      <w:p w:rsidR="000C01CB" w:rsidRDefault="00534D92">
        <w:pPr>
          <w:pStyle w:val="Intestazione"/>
          <w:jc w:val="right"/>
        </w:pPr>
        <w:fldSimple w:instr=" PAGE   \* MERGEFORMAT ">
          <w:r w:rsidR="008949C8">
            <w:rPr>
              <w:noProof/>
            </w:rPr>
            <w:t>1</w:t>
          </w:r>
        </w:fldSimple>
      </w:p>
    </w:sdtContent>
  </w:sdt>
  <w:p w:rsidR="000C01CB" w:rsidRDefault="000C01C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026"/>
    <w:multiLevelType w:val="hybridMultilevel"/>
    <w:tmpl w:val="E68C222E"/>
    <w:lvl w:ilvl="0" w:tplc="A2146B7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83F27"/>
    <w:multiLevelType w:val="hybridMultilevel"/>
    <w:tmpl w:val="1B200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031B7"/>
    <w:multiLevelType w:val="hybridMultilevel"/>
    <w:tmpl w:val="EC3693FE"/>
    <w:lvl w:ilvl="0" w:tplc="A2146B7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B78"/>
    <w:rsid w:val="00052B1E"/>
    <w:rsid w:val="00065C3B"/>
    <w:rsid w:val="000C01CB"/>
    <w:rsid w:val="000E7B78"/>
    <w:rsid w:val="00120DF5"/>
    <w:rsid w:val="0013782C"/>
    <w:rsid w:val="0018754E"/>
    <w:rsid w:val="001A36B6"/>
    <w:rsid w:val="002E5D2A"/>
    <w:rsid w:val="003314A8"/>
    <w:rsid w:val="00346875"/>
    <w:rsid w:val="003F2626"/>
    <w:rsid w:val="004216B6"/>
    <w:rsid w:val="00534D92"/>
    <w:rsid w:val="005A287E"/>
    <w:rsid w:val="00632B79"/>
    <w:rsid w:val="00660150"/>
    <w:rsid w:val="00861E16"/>
    <w:rsid w:val="008949C8"/>
    <w:rsid w:val="008A4922"/>
    <w:rsid w:val="008C2D2D"/>
    <w:rsid w:val="00914894"/>
    <w:rsid w:val="0095511C"/>
    <w:rsid w:val="00977180"/>
    <w:rsid w:val="00A52C4B"/>
    <w:rsid w:val="00AA4DFC"/>
    <w:rsid w:val="00E8189A"/>
    <w:rsid w:val="00F4114F"/>
    <w:rsid w:val="00FE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B78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7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B78"/>
    <w:rPr>
      <w:rFonts w:asciiTheme="minorHAnsi" w:hAnsiTheme="minorHAnsi"/>
      <w:sz w:val="22"/>
    </w:rPr>
  </w:style>
  <w:style w:type="paragraph" w:styleId="Paragrafoelenco">
    <w:name w:val="List Paragraph"/>
    <w:basedOn w:val="Normale"/>
    <w:uiPriority w:val="34"/>
    <w:qFormat/>
    <w:rsid w:val="00977180"/>
    <w:pPr>
      <w:ind w:left="720"/>
      <w:contextualSpacing/>
    </w:pPr>
  </w:style>
  <w:style w:type="table" w:styleId="Grigliatabella">
    <w:name w:val="Table Grid"/>
    <w:basedOn w:val="Tabellanormale"/>
    <w:uiPriority w:val="59"/>
    <w:rsid w:val="0018754E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A">
    <w:name w:val="Corpo A"/>
    <w:rsid w:val="00AA4DFC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Arial Unicode MS" w:hAnsi="Helvetica" w:cs="Arial Unicode MS"/>
      <w:color w:val="000000"/>
      <w:sz w:val="22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59639-2579-4BA7-BA94-BD41792D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BiancaSVT</dc:creator>
  <cp:lastModifiedBy>Nome utente</cp:lastModifiedBy>
  <cp:revision>2</cp:revision>
  <dcterms:created xsi:type="dcterms:W3CDTF">2016-07-02T11:16:00Z</dcterms:created>
  <dcterms:modified xsi:type="dcterms:W3CDTF">2016-07-02T11:16:00Z</dcterms:modified>
</cp:coreProperties>
</file>