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8AD47" w14:textId="76BA13AD" w:rsidR="007871E0" w:rsidRPr="007061E6" w:rsidRDefault="007871E0">
      <w:pPr>
        <w:pStyle w:val="Titolo"/>
        <w:rPr>
          <w:rFonts w:asciiTheme="majorHAnsi" w:hAnsiTheme="majorHAnsi"/>
        </w:rPr>
      </w:pPr>
    </w:p>
    <w:p w14:paraId="344C70C8" w14:textId="77777777" w:rsidR="007871E0" w:rsidRPr="00180D85" w:rsidRDefault="007871E0" w:rsidP="00180D85">
      <w:pPr>
        <w:pStyle w:val="Titolo"/>
        <w:jc w:val="center"/>
        <w:rPr>
          <w:rFonts w:asciiTheme="majorHAnsi" w:hAnsiTheme="majorHAnsi"/>
          <w:b/>
          <w:sz w:val="72"/>
          <w:szCs w:val="72"/>
        </w:rPr>
      </w:pPr>
      <w:r w:rsidRPr="007061E6">
        <w:rPr>
          <w:rFonts w:asciiTheme="majorHAnsi" w:hAnsiTheme="majorHAnsi"/>
        </w:rPr>
        <w:br/>
      </w:r>
      <w:r w:rsidRPr="00180D85">
        <w:rPr>
          <w:rFonts w:asciiTheme="majorHAnsi" w:hAnsiTheme="majorHAnsi"/>
          <w:b/>
          <w:sz w:val="72"/>
          <w:szCs w:val="72"/>
        </w:rPr>
        <w:t>La grande occasione per la mobilità a zero emissioni</w:t>
      </w:r>
    </w:p>
    <w:p w14:paraId="738F8963" w14:textId="1575151B" w:rsidR="007871E0" w:rsidRPr="007061E6" w:rsidRDefault="007871E0" w:rsidP="007871E0">
      <w:pPr>
        <w:rPr>
          <w:rFonts w:asciiTheme="majorHAnsi" w:hAnsiTheme="majorHAnsi"/>
          <w:sz w:val="52"/>
          <w:szCs w:val="52"/>
        </w:rPr>
      </w:pPr>
      <w:r w:rsidRPr="007061E6">
        <w:rPr>
          <w:rFonts w:asciiTheme="majorHAnsi" w:hAnsiTheme="majorHAnsi"/>
          <w:noProof/>
          <w:bdr w:val="none" w:sz="0" w:space="0" w:color="auto" w:frame="1"/>
        </w:rPr>
        <w:drawing>
          <wp:anchor distT="0" distB="0" distL="114300" distR="114300" simplePos="0" relativeHeight="251658240" behindDoc="1" locked="0" layoutInCell="1" allowOverlap="1" wp14:anchorId="7A0FB57F" wp14:editId="47B2C90A">
            <wp:simplePos x="0" y="0"/>
            <wp:positionH relativeFrom="column">
              <wp:posOffset>1428750</wp:posOffset>
            </wp:positionH>
            <wp:positionV relativeFrom="paragraph">
              <wp:posOffset>1316355</wp:posOffset>
            </wp:positionV>
            <wp:extent cx="3034665" cy="1129177"/>
            <wp:effectExtent l="0" t="0" r="0" b="0"/>
            <wp:wrapNone/>
            <wp:docPr id="7" name="Immagine 7" descr="https://lh4.googleusercontent.com/TbyirQ_HmRzb3zP_J8e0dqR58-qWYQuHSu2cH27gyYWMlhH_zf9DsPkdo1fLM5qxTculb8kohYhP3gLFMItk3af6shzxTA3whOiMemENzD_ZW2XVbSOSge00JQfvE--iMwLFE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byirQ_HmRzb3zP_J8e0dqR58-qWYQuHSu2cH27gyYWMlhH_zf9DsPkdo1fLM5qxTculb8kohYhP3gLFMItk3af6shzxTA3whOiMemENzD_ZW2XVbSOSge00JQfvE--iMwLFE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4665" cy="11291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1E6">
        <w:rPr>
          <w:rFonts w:asciiTheme="majorHAnsi" w:hAnsiTheme="majorHAnsi"/>
        </w:rPr>
        <w:br w:type="page"/>
      </w:r>
    </w:p>
    <w:p w14:paraId="3EE41A6F" w14:textId="77777777" w:rsidR="00AE71E2" w:rsidRPr="00AE71E2" w:rsidRDefault="00AE71E2" w:rsidP="00AE71E2">
      <w:pPr>
        <w:spacing w:beforeAutospacing="1" w:after="100" w:afterAutospacing="1" w:line="240" w:lineRule="auto"/>
        <w:rPr>
          <w:rFonts w:ascii="Calibri" w:eastAsia="Times New Roman" w:hAnsi="Calibri" w:cs="Times New Roman"/>
          <w:b/>
          <w:sz w:val="32"/>
          <w:szCs w:val="32"/>
        </w:rPr>
      </w:pPr>
      <w:r w:rsidRPr="00AE71E2">
        <w:rPr>
          <w:rFonts w:ascii="Calibri" w:eastAsia="Times New Roman" w:hAnsi="Calibri" w:cs="Times New Roman"/>
          <w:b/>
          <w:sz w:val="32"/>
          <w:szCs w:val="32"/>
        </w:rPr>
        <w:lastRenderedPageBreak/>
        <w:t>Sommario</w:t>
      </w:r>
    </w:p>
    <w:p w14:paraId="5228505E" w14:textId="2FE35296" w:rsidR="00AE71E2" w:rsidRPr="00AE71E2" w:rsidRDefault="00AE71E2" w:rsidP="00AE71E2">
      <w:pPr>
        <w:spacing w:beforeAutospacing="1" w:after="100" w:afterAutospacing="1" w:line="240" w:lineRule="auto"/>
        <w:jc w:val="both"/>
        <w:rPr>
          <w:rFonts w:ascii="Calibri" w:eastAsia="Times New Roman" w:hAnsi="Calibri" w:cs="Times New Roman"/>
          <w:sz w:val="24"/>
          <w:szCs w:val="24"/>
        </w:rPr>
      </w:pPr>
      <w:r w:rsidRPr="00222E2E">
        <w:rPr>
          <w:rFonts w:ascii="Calibri" w:eastAsia="Times New Roman" w:hAnsi="Calibri" w:cs="Times New Roman"/>
          <w:sz w:val="24"/>
          <w:szCs w:val="24"/>
        </w:rPr>
        <w:t>I</w:t>
      </w:r>
      <w:r w:rsidRPr="00AE71E2">
        <w:rPr>
          <w:rFonts w:ascii="Calibri" w:eastAsia="Times New Roman" w:hAnsi="Calibri" w:cs="Times New Roman"/>
          <w:sz w:val="24"/>
          <w:szCs w:val="24"/>
        </w:rPr>
        <w:t xml:space="preserve">l presente documento, oltre che riportare la sintesi della visione della transizione verso la mobilità sostenibile da parte dell’Associazione </w:t>
      </w:r>
      <w:proofErr w:type="spellStart"/>
      <w:r w:rsidRPr="00AE71E2">
        <w:rPr>
          <w:rFonts w:ascii="Calibri" w:eastAsia="Times New Roman" w:hAnsi="Calibri" w:cs="Times New Roman"/>
          <w:sz w:val="24"/>
          <w:szCs w:val="24"/>
        </w:rPr>
        <w:t>Motus</w:t>
      </w:r>
      <w:proofErr w:type="spellEnd"/>
      <w:r w:rsidRPr="00AE71E2">
        <w:rPr>
          <w:rFonts w:ascii="Calibri" w:eastAsia="Times New Roman" w:hAnsi="Calibri" w:cs="Times New Roman"/>
          <w:sz w:val="24"/>
          <w:szCs w:val="24"/>
        </w:rPr>
        <w:t xml:space="preserve">-E, vuole presentare un dettaglio delle ipotesi di indirizzamento del PNRR in discussione, che meglio risponda agli ambiti politici richiesti dal </w:t>
      </w:r>
      <w:proofErr w:type="spellStart"/>
      <w:r w:rsidRPr="00AE71E2">
        <w:rPr>
          <w:rFonts w:ascii="Calibri" w:eastAsia="Times New Roman" w:hAnsi="Calibri" w:cs="Times New Roman"/>
          <w:sz w:val="24"/>
          <w:szCs w:val="24"/>
        </w:rPr>
        <w:t>Next</w:t>
      </w:r>
      <w:proofErr w:type="spellEnd"/>
      <w:r w:rsidRPr="00AE71E2">
        <w:rPr>
          <w:rFonts w:ascii="Calibri" w:eastAsia="Times New Roman" w:hAnsi="Calibri" w:cs="Times New Roman"/>
          <w:sz w:val="24"/>
          <w:szCs w:val="24"/>
        </w:rPr>
        <w:t xml:space="preserve"> Generation EU, rispetto alla attuale Bozza</w:t>
      </w:r>
    </w:p>
    <w:p w14:paraId="6F9FF532" w14:textId="77777777" w:rsidR="00AE71E2" w:rsidRPr="00AE71E2" w:rsidRDefault="00AE71E2" w:rsidP="00AE71E2">
      <w:pPr>
        <w:spacing w:before="100" w:beforeAutospacing="1" w:after="100" w:afterAutospacing="1" w:line="240" w:lineRule="auto"/>
        <w:jc w:val="both"/>
        <w:rPr>
          <w:rFonts w:ascii="Calibri" w:eastAsia="Times New Roman" w:hAnsi="Calibri" w:cs="Times New Roman"/>
          <w:sz w:val="24"/>
          <w:szCs w:val="24"/>
        </w:rPr>
      </w:pPr>
      <w:r w:rsidRPr="00AE71E2">
        <w:rPr>
          <w:rFonts w:ascii="Calibri" w:eastAsia="Times New Roman" w:hAnsi="Calibri" w:cs="Times New Roman"/>
          <w:sz w:val="24"/>
          <w:szCs w:val="24"/>
        </w:rPr>
        <w:t>In questo senso il documento è focalizzato non solo al sostegno del mercato, ma alla creazione di infrastrutture e supporto all’industria, per liberare finalmente le nostre città dalle attuali soffocanti congestioni e portare il Paese ad essere competitivo nella mobilità sostenibile.</w:t>
      </w:r>
    </w:p>
    <w:p w14:paraId="668E7134" w14:textId="2E144844" w:rsidR="00AE71E2" w:rsidRPr="00AE71E2" w:rsidRDefault="00AE71E2" w:rsidP="00AE71E2">
      <w:pPr>
        <w:spacing w:before="100" w:beforeAutospacing="1" w:after="100" w:afterAutospacing="1" w:line="240" w:lineRule="auto"/>
        <w:jc w:val="both"/>
        <w:rPr>
          <w:rFonts w:ascii="Calibri" w:eastAsia="Times New Roman" w:hAnsi="Calibri" w:cs="Times New Roman"/>
          <w:sz w:val="24"/>
          <w:szCs w:val="24"/>
        </w:rPr>
      </w:pPr>
      <w:r w:rsidRPr="00AE71E2">
        <w:rPr>
          <w:rFonts w:ascii="Calibri" w:eastAsia="Times New Roman" w:hAnsi="Calibri" w:cs="Times New Roman"/>
          <w:sz w:val="24"/>
          <w:szCs w:val="24"/>
        </w:rPr>
        <w:t>In sintesi si prevede, in un orizzonte che arriva al 2026, il re</w:t>
      </w:r>
      <w:r w:rsidRPr="00222E2E">
        <w:rPr>
          <w:rFonts w:ascii="Calibri" w:eastAsia="Times New Roman" w:hAnsi="Calibri" w:cs="Times New Roman"/>
          <w:sz w:val="24"/>
          <w:szCs w:val="24"/>
        </w:rPr>
        <w:t>-</w:t>
      </w:r>
      <w:r w:rsidRPr="00AE71E2">
        <w:rPr>
          <w:rFonts w:ascii="Calibri" w:eastAsia="Times New Roman" w:hAnsi="Calibri" w:cs="Times New Roman"/>
          <w:sz w:val="24"/>
          <w:szCs w:val="24"/>
        </w:rPr>
        <w:t>indirizzamento di un complessivo di 18,71 m</w:t>
      </w:r>
      <w:r w:rsidRPr="00222E2E">
        <w:rPr>
          <w:rFonts w:ascii="Calibri" w:eastAsia="Times New Roman" w:hAnsi="Calibri" w:cs="Times New Roman"/>
          <w:sz w:val="24"/>
          <w:szCs w:val="24"/>
        </w:rPr>
        <w:t>iliardi</w:t>
      </w:r>
      <w:r w:rsidRPr="00AE71E2">
        <w:rPr>
          <w:rFonts w:ascii="Calibri" w:eastAsia="Times New Roman" w:hAnsi="Calibri" w:cs="Times New Roman"/>
          <w:sz w:val="24"/>
          <w:szCs w:val="24"/>
        </w:rPr>
        <w:t xml:space="preserve"> di </w:t>
      </w:r>
      <w:r w:rsidRPr="00222E2E">
        <w:rPr>
          <w:rFonts w:ascii="Calibri" w:eastAsia="Times New Roman" w:hAnsi="Calibri" w:cs="Times New Roman"/>
          <w:sz w:val="24"/>
          <w:szCs w:val="24"/>
        </w:rPr>
        <w:t>Euro</w:t>
      </w:r>
      <w:r w:rsidRPr="00AE71E2">
        <w:rPr>
          <w:rFonts w:ascii="Calibri" w:eastAsia="Times New Roman" w:hAnsi="Calibri" w:cs="Times New Roman"/>
          <w:sz w:val="24"/>
          <w:szCs w:val="24"/>
        </w:rPr>
        <w:t xml:space="preserve"> suddivisi in:</w:t>
      </w:r>
    </w:p>
    <w:p w14:paraId="0199C36B" w14:textId="4F150B21" w:rsidR="00AE71E2" w:rsidRPr="00222E2E" w:rsidRDefault="00AE71E2" w:rsidP="00AE71E2">
      <w:pPr>
        <w:pStyle w:val="Paragrafoelenco"/>
        <w:numPr>
          <w:ilvl w:val="0"/>
          <w:numId w:val="43"/>
        </w:numPr>
        <w:spacing w:before="100" w:beforeAutospacing="1" w:after="100" w:afterAutospacing="1" w:line="240" w:lineRule="auto"/>
        <w:jc w:val="both"/>
        <w:rPr>
          <w:rFonts w:eastAsia="Times New Roman" w:cs="Times New Roman"/>
          <w:sz w:val="24"/>
          <w:szCs w:val="24"/>
        </w:rPr>
      </w:pPr>
      <w:proofErr w:type="gramStart"/>
      <w:r w:rsidRPr="00222E2E">
        <w:rPr>
          <w:rFonts w:eastAsia="Times New Roman" w:cs="Times New Roman"/>
          <w:sz w:val="24"/>
          <w:szCs w:val="24"/>
        </w:rPr>
        <w:t>Domanda:  </w:t>
      </w:r>
      <w:r w:rsidRPr="00222E2E">
        <w:rPr>
          <w:rFonts w:eastAsia="Times New Roman" w:cs="Times New Roman"/>
          <w:sz w:val="24"/>
          <w:szCs w:val="24"/>
        </w:rPr>
        <w:tab/>
      </w:r>
      <w:proofErr w:type="gramEnd"/>
      <w:r w:rsidRPr="00222E2E">
        <w:rPr>
          <w:rFonts w:eastAsia="Times New Roman" w:cs="Times New Roman"/>
          <w:sz w:val="24"/>
          <w:szCs w:val="24"/>
        </w:rPr>
        <w:tab/>
        <w:t xml:space="preserve">10,93 </w:t>
      </w:r>
      <w:proofErr w:type="spellStart"/>
      <w:r w:rsidRPr="00222E2E">
        <w:rPr>
          <w:rFonts w:eastAsia="Times New Roman" w:cs="Times New Roman"/>
          <w:sz w:val="24"/>
          <w:szCs w:val="24"/>
        </w:rPr>
        <w:t>mld</w:t>
      </w:r>
      <w:proofErr w:type="spellEnd"/>
      <w:r w:rsidRPr="00222E2E">
        <w:rPr>
          <w:rFonts w:eastAsia="Times New Roman" w:cs="Times New Roman"/>
          <w:sz w:val="24"/>
          <w:szCs w:val="24"/>
        </w:rPr>
        <w:t>€</w:t>
      </w:r>
    </w:p>
    <w:p w14:paraId="02EA8617" w14:textId="616AF65D" w:rsidR="00AE71E2" w:rsidRPr="00222E2E" w:rsidRDefault="00AE71E2" w:rsidP="00AE71E2">
      <w:pPr>
        <w:pStyle w:val="Paragrafoelenco"/>
        <w:numPr>
          <w:ilvl w:val="0"/>
          <w:numId w:val="43"/>
        </w:numPr>
        <w:spacing w:before="100" w:beforeAutospacing="1" w:after="100" w:afterAutospacing="1" w:line="240" w:lineRule="auto"/>
        <w:jc w:val="both"/>
        <w:rPr>
          <w:rFonts w:eastAsia="Times New Roman" w:cs="Times New Roman"/>
          <w:sz w:val="24"/>
          <w:szCs w:val="24"/>
        </w:rPr>
      </w:pPr>
      <w:r w:rsidRPr="00222E2E">
        <w:rPr>
          <w:rFonts w:eastAsia="Times New Roman" w:cs="Times New Roman"/>
          <w:sz w:val="24"/>
          <w:szCs w:val="24"/>
        </w:rPr>
        <w:t xml:space="preserve">Infrastrutture: </w:t>
      </w:r>
      <w:proofErr w:type="gramStart"/>
      <w:r w:rsidRPr="00222E2E">
        <w:rPr>
          <w:rFonts w:eastAsia="Times New Roman" w:cs="Times New Roman"/>
          <w:sz w:val="24"/>
          <w:szCs w:val="24"/>
        </w:rPr>
        <w:tab/>
        <w:t xml:space="preserve">  3</w:t>
      </w:r>
      <w:proofErr w:type="gramEnd"/>
      <w:r w:rsidRPr="00222E2E">
        <w:rPr>
          <w:rFonts w:eastAsia="Times New Roman" w:cs="Times New Roman"/>
          <w:sz w:val="24"/>
          <w:szCs w:val="24"/>
        </w:rPr>
        <w:t xml:space="preserve">,27 </w:t>
      </w:r>
      <w:proofErr w:type="spellStart"/>
      <w:r w:rsidRPr="00222E2E">
        <w:rPr>
          <w:rFonts w:eastAsia="Times New Roman" w:cs="Times New Roman"/>
          <w:sz w:val="24"/>
          <w:szCs w:val="24"/>
        </w:rPr>
        <w:t>mld</w:t>
      </w:r>
      <w:proofErr w:type="spellEnd"/>
      <w:r w:rsidRPr="00222E2E">
        <w:rPr>
          <w:rFonts w:eastAsia="Times New Roman" w:cs="Times New Roman"/>
          <w:sz w:val="24"/>
          <w:szCs w:val="24"/>
        </w:rPr>
        <w:t>€</w:t>
      </w:r>
    </w:p>
    <w:p w14:paraId="7A26C5E4" w14:textId="6F1216FB" w:rsidR="00AE71E2" w:rsidRPr="00222E2E" w:rsidRDefault="00AE71E2" w:rsidP="00AE71E2">
      <w:pPr>
        <w:pStyle w:val="Paragrafoelenco"/>
        <w:numPr>
          <w:ilvl w:val="0"/>
          <w:numId w:val="43"/>
        </w:numPr>
        <w:spacing w:before="100" w:beforeAutospacing="1" w:after="100" w:afterAutospacing="1" w:line="240" w:lineRule="auto"/>
        <w:jc w:val="both"/>
        <w:rPr>
          <w:rFonts w:eastAsia="Times New Roman" w:cs="Times New Roman"/>
          <w:sz w:val="24"/>
          <w:szCs w:val="24"/>
        </w:rPr>
      </w:pPr>
      <w:r w:rsidRPr="00222E2E">
        <w:rPr>
          <w:rFonts w:eastAsia="Times New Roman" w:cs="Times New Roman"/>
          <w:sz w:val="24"/>
          <w:szCs w:val="24"/>
        </w:rPr>
        <w:t xml:space="preserve">Offerta: </w:t>
      </w:r>
      <w:r w:rsidRPr="00222E2E">
        <w:rPr>
          <w:rFonts w:eastAsia="Times New Roman" w:cs="Times New Roman"/>
          <w:sz w:val="24"/>
          <w:szCs w:val="24"/>
        </w:rPr>
        <w:tab/>
      </w:r>
      <w:proofErr w:type="gramStart"/>
      <w:r w:rsidRPr="00222E2E">
        <w:rPr>
          <w:rFonts w:eastAsia="Times New Roman" w:cs="Times New Roman"/>
          <w:sz w:val="24"/>
          <w:szCs w:val="24"/>
        </w:rPr>
        <w:tab/>
        <w:t xml:space="preserve">  4</w:t>
      </w:r>
      <w:proofErr w:type="gramEnd"/>
      <w:r w:rsidRPr="00222E2E">
        <w:rPr>
          <w:rFonts w:eastAsia="Times New Roman" w:cs="Times New Roman"/>
          <w:sz w:val="24"/>
          <w:szCs w:val="24"/>
        </w:rPr>
        <w:t>,51 mdl€</w:t>
      </w:r>
    </w:p>
    <w:p w14:paraId="3C82C79B" w14:textId="77777777" w:rsidR="00AE71E2" w:rsidRPr="00AE71E2" w:rsidRDefault="00AE71E2" w:rsidP="00AE71E2">
      <w:pPr>
        <w:spacing w:before="100" w:beforeAutospacing="1" w:after="100" w:afterAutospacing="1" w:line="240" w:lineRule="auto"/>
        <w:jc w:val="both"/>
        <w:rPr>
          <w:rFonts w:ascii="Calibri" w:eastAsia="Times New Roman" w:hAnsi="Calibri" w:cs="Times New Roman"/>
          <w:sz w:val="24"/>
          <w:szCs w:val="24"/>
        </w:rPr>
      </w:pPr>
      <w:r w:rsidRPr="00AE71E2">
        <w:rPr>
          <w:rFonts w:ascii="Calibri" w:eastAsia="Times New Roman" w:hAnsi="Calibri" w:cs="Times New Roman"/>
          <w:sz w:val="24"/>
          <w:szCs w:val="24"/>
        </w:rPr>
        <w:t xml:space="preserve">Questi valori sono presentati attraverso un dettaglio di </w:t>
      </w:r>
      <w:bookmarkStart w:id="0" w:name="_GoBack"/>
      <w:r w:rsidRPr="00AE71E2">
        <w:rPr>
          <w:rFonts w:ascii="Calibri" w:eastAsia="Times New Roman" w:hAnsi="Calibri" w:cs="Times New Roman"/>
          <w:sz w:val="24"/>
          <w:szCs w:val="24"/>
        </w:rPr>
        <w:t>15 misure complessive, corredata di riferimenti normativi, calcoli e strumenti di rilevazione dell’avanzamento delle azioni.</w:t>
      </w:r>
    </w:p>
    <w:p w14:paraId="003055B6" w14:textId="77777777" w:rsidR="00AE71E2" w:rsidRPr="00AE71E2" w:rsidRDefault="00AE71E2" w:rsidP="00AE71E2">
      <w:pPr>
        <w:spacing w:before="100" w:beforeAutospacing="1" w:afterAutospacing="1" w:line="240" w:lineRule="auto"/>
        <w:jc w:val="both"/>
        <w:rPr>
          <w:rFonts w:ascii="Calibri" w:eastAsia="Times New Roman" w:hAnsi="Calibri" w:cs="Times New Roman"/>
          <w:sz w:val="24"/>
          <w:szCs w:val="24"/>
        </w:rPr>
      </w:pPr>
      <w:proofErr w:type="spellStart"/>
      <w:r w:rsidRPr="00AE71E2">
        <w:rPr>
          <w:rFonts w:ascii="Calibri" w:eastAsia="Times New Roman" w:hAnsi="Calibri" w:cs="Times New Roman"/>
          <w:sz w:val="24"/>
          <w:szCs w:val="24"/>
        </w:rPr>
        <w:t>Motus</w:t>
      </w:r>
      <w:proofErr w:type="spellEnd"/>
      <w:r w:rsidRPr="00AE71E2">
        <w:rPr>
          <w:rFonts w:ascii="Calibri" w:eastAsia="Times New Roman" w:hAnsi="Calibri" w:cs="Times New Roman"/>
          <w:sz w:val="24"/>
          <w:szCs w:val="24"/>
        </w:rPr>
        <w:t>-E ritiene che in questo modo potrà essere elevato il grado di accettazione del PNRR, essendo maggiormente congruente con i principi ispiratori e gli indirizzi della Commissione Europea.</w:t>
      </w:r>
    </w:p>
    <w:bookmarkEnd w:id="0"/>
    <w:p w14:paraId="26C0317D" w14:textId="77777777" w:rsidR="00AE71E2" w:rsidRPr="00AE71E2" w:rsidRDefault="00AE71E2">
      <w:pPr>
        <w:keepNext/>
        <w:keepLines/>
        <w:pBdr>
          <w:top w:val="nil"/>
          <w:left w:val="nil"/>
          <w:bottom w:val="nil"/>
          <w:right w:val="nil"/>
          <w:between w:val="nil"/>
        </w:pBdr>
        <w:spacing w:before="240" w:line="259" w:lineRule="auto"/>
        <w:rPr>
          <w:rFonts w:asciiTheme="majorHAnsi" w:eastAsia="Calibri" w:hAnsiTheme="majorHAnsi" w:cs="Calibri"/>
          <w:b/>
          <w:bCs/>
          <w:sz w:val="32"/>
          <w:szCs w:val="32"/>
        </w:rPr>
      </w:pPr>
    </w:p>
    <w:p w14:paraId="04D82D67" w14:textId="77777777" w:rsidR="00AE71E2" w:rsidRDefault="00AE71E2">
      <w:pPr>
        <w:keepNext/>
        <w:keepLines/>
        <w:pBdr>
          <w:top w:val="nil"/>
          <w:left w:val="nil"/>
          <w:bottom w:val="nil"/>
          <w:right w:val="nil"/>
          <w:between w:val="nil"/>
        </w:pBdr>
        <w:spacing w:before="240" w:line="259" w:lineRule="auto"/>
        <w:rPr>
          <w:rFonts w:asciiTheme="majorHAnsi" w:eastAsia="Calibri" w:hAnsiTheme="majorHAnsi" w:cs="Calibri"/>
          <w:b/>
          <w:bCs/>
          <w:sz w:val="40"/>
          <w:szCs w:val="40"/>
        </w:rPr>
      </w:pPr>
    </w:p>
    <w:p w14:paraId="199EC66E" w14:textId="77777777" w:rsidR="00AE71E2" w:rsidRDefault="00AE71E2">
      <w:pPr>
        <w:keepNext/>
        <w:keepLines/>
        <w:pBdr>
          <w:top w:val="nil"/>
          <w:left w:val="nil"/>
          <w:bottom w:val="nil"/>
          <w:right w:val="nil"/>
          <w:between w:val="nil"/>
        </w:pBdr>
        <w:spacing w:before="240" w:line="259" w:lineRule="auto"/>
        <w:rPr>
          <w:rFonts w:asciiTheme="majorHAnsi" w:eastAsia="Calibri" w:hAnsiTheme="majorHAnsi" w:cs="Calibri"/>
          <w:b/>
          <w:bCs/>
          <w:sz w:val="40"/>
          <w:szCs w:val="40"/>
        </w:rPr>
      </w:pPr>
    </w:p>
    <w:p w14:paraId="59F09EB4" w14:textId="77777777" w:rsidR="00AE71E2" w:rsidRDefault="00AE71E2">
      <w:pPr>
        <w:keepNext/>
        <w:keepLines/>
        <w:pBdr>
          <w:top w:val="nil"/>
          <w:left w:val="nil"/>
          <w:bottom w:val="nil"/>
          <w:right w:val="nil"/>
          <w:between w:val="nil"/>
        </w:pBdr>
        <w:spacing w:before="240" w:line="259" w:lineRule="auto"/>
        <w:rPr>
          <w:rFonts w:asciiTheme="majorHAnsi" w:eastAsia="Calibri" w:hAnsiTheme="majorHAnsi" w:cs="Calibri"/>
          <w:b/>
          <w:bCs/>
          <w:sz w:val="40"/>
          <w:szCs w:val="40"/>
        </w:rPr>
      </w:pPr>
    </w:p>
    <w:p w14:paraId="072955D5" w14:textId="77777777" w:rsidR="00AE71E2" w:rsidRDefault="00AE71E2">
      <w:pPr>
        <w:keepNext/>
        <w:keepLines/>
        <w:pBdr>
          <w:top w:val="nil"/>
          <w:left w:val="nil"/>
          <w:bottom w:val="nil"/>
          <w:right w:val="nil"/>
          <w:between w:val="nil"/>
        </w:pBdr>
        <w:spacing w:before="240" w:line="259" w:lineRule="auto"/>
        <w:rPr>
          <w:rFonts w:asciiTheme="majorHAnsi" w:eastAsia="Calibri" w:hAnsiTheme="majorHAnsi" w:cs="Calibri"/>
          <w:b/>
          <w:bCs/>
          <w:sz w:val="40"/>
          <w:szCs w:val="40"/>
        </w:rPr>
      </w:pPr>
    </w:p>
    <w:p w14:paraId="28B83E79" w14:textId="77777777" w:rsidR="00AE71E2" w:rsidRDefault="00AE71E2">
      <w:pPr>
        <w:keepNext/>
        <w:keepLines/>
        <w:pBdr>
          <w:top w:val="nil"/>
          <w:left w:val="nil"/>
          <w:bottom w:val="nil"/>
          <w:right w:val="nil"/>
          <w:between w:val="nil"/>
        </w:pBdr>
        <w:spacing w:before="240" w:line="259" w:lineRule="auto"/>
        <w:rPr>
          <w:rFonts w:asciiTheme="majorHAnsi" w:eastAsia="Calibri" w:hAnsiTheme="majorHAnsi" w:cs="Calibri"/>
          <w:b/>
          <w:bCs/>
          <w:sz w:val="40"/>
          <w:szCs w:val="40"/>
        </w:rPr>
      </w:pPr>
    </w:p>
    <w:p w14:paraId="649687E9" w14:textId="63EE47A1" w:rsidR="009A4F8F" w:rsidRPr="007061E6" w:rsidRDefault="00614CD8">
      <w:pPr>
        <w:keepNext/>
        <w:keepLines/>
        <w:pBdr>
          <w:top w:val="nil"/>
          <w:left w:val="nil"/>
          <w:bottom w:val="nil"/>
          <w:right w:val="nil"/>
          <w:between w:val="nil"/>
        </w:pBdr>
        <w:spacing w:before="240" w:line="259" w:lineRule="auto"/>
        <w:rPr>
          <w:rFonts w:asciiTheme="majorHAnsi" w:eastAsia="Calibri" w:hAnsiTheme="majorHAnsi" w:cs="Calibri"/>
          <w:b/>
          <w:bCs/>
          <w:sz w:val="40"/>
          <w:szCs w:val="40"/>
        </w:rPr>
      </w:pPr>
      <w:r w:rsidRPr="007061E6">
        <w:rPr>
          <w:rFonts w:asciiTheme="majorHAnsi" w:eastAsia="Calibri" w:hAnsiTheme="majorHAnsi" w:cs="Calibri"/>
          <w:b/>
          <w:bCs/>
          <w:sz w:val="40"/>
          <w:szCs w:val="40"/>
        </w:rPr>
        <w:t xml:space="preserve">Indice </w:t>
      </w:r>
    </w:p>
    <w:p w14:paraId="7DE8D3AD" w14:textId="77777777" w:rsidR="009A4F8F" w:rsidRPr="007061E6" w:rsidRDefault="009A4F8F">
      <w:pPr>
        <w:keepNext/>
        <w:keepLines/>
        <w:pBdr>
          <w:top w:val="nil"/>
          <w:left w:val="nil"/>
          <w:bottom w:val="nil"/>
          <w:right w:val="nil"/>
          <w:between w:val="nil"/>
        </w:pBdr>
        <w:spacing w:before="240" w:line="259" w:lineRule="auto"/>
        <w:rPr>
          <w:rFonts w:asciiTheme="majorHAnsi" w:eastAsia="Calibri" w:hAnsiTheme="majorHAnsi" w:cs="Calibri"/>
          <w:sz w:val="32"/>
          <w:szCs w:val="32"/>
        </w:rPr>
      </w:pPr>
    </w:p>
    <w:sdt>
      <w:sdtPr>
        <w:rPr>
          <w:rFonts w:asciiTheme="majorHAnsi" w:hAnsiTheme="majorHAnsi"/>
        </w:rPr>
        <w:id w:val="-1292351879"/>
        <w:docPartObj>
          <w:docPartGallery w:val="Table of Contents"/>
          <w:docPartUnique/>
        </w:docPartObj>
      </w:sdtPr>
      <w:sdtEndPr/>
      <w:sdtContent>
        <w:p w14:paraId="680D9279" w14:textId="77777777" w:rsidR="00910462" w:rsidRPr="007061E6" w:rsidRDefault="00614CD8">
          <w:pPr>
            <w:pStyle w:val="Sommario1"/>
            <w:tabs>
              <w:tab w:val="right" w:pos="9350"/>
            </w:tabs>
            <w:rPr>
              <w:rFonts w:asciiTheme="majorHAnsi" w:eastAsiaTheme="minorEastAsia" w:hAnsiTheme="majorHAnsi" w:cstheme="minorBidi"/>
              <w:noProof/>
            </w:rPr>
          </w:pPr>
          <w:r w:rsidRPr="007061E6">
            <w:rPr>
              <w:rFonts w:asciiTheme="majorHAnsi" w:hAnsiTheme="majorHAnsi"/>
            </w:rPr>
            <w:fldChar w:fldCharType="begin"/>
          </w:r>
          <w:r w:rsidRPr="007061E6">
            <w:rPr>
              <w:rFonts w:asciiTheme="majorHAnsi" w:hAnsiTheme="majorHAnsi"/>
            </w:rPr>
            <w:instrText xml:space="preserve"> TOC \h \u \z </w:instrText>
          </w:r>
          <w:r w:rsidRPr="007061E6">
            <w:rPr>
              <w:rFonts w:asciiTheme="majorHAnsi" w:hAnsiTheme="majorHAnsi"/>
            </w:rPr>
            <w:fldChar w:fldCharType="separate"/>
          </w:r>
          <w:hyperlink w:anchor="_Toc60993386" w:history="1">
            <w:r w:rsidR="00910462" w:rsidRPr="007061E6">
              <w:rPr>
                <w:rStyle w:val="Collegamentoipertestuale"/>
                <w:rFonts w:asciiTheme="majorHAnsi" w:hAnsiTheme="majorHAnsi"/>
                <w:noProof/>
              </w:rPr>
              <w:t>1. INTRODUZIONE</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_Toc60993386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3</w:t>
            </w:r>
            <w:r w:rsidR="00910462" w:rsidRPr="007061E6">
              <w:rPr>
                <w:rFonts w:asciiTheme="majorHAnsi" w:hAnsiTheme="majorHAnsi"/>
                <w:noProof/>
                <w:webHidden/>
              </w:rPr>
              <w:fldChar w:fldCharType="end"/>
            </w:r>
          </w:hyperlink>
        </w:p>
        <w:p w14:paraId="6BB92B42" w14:textId="77777777" w:rsidR="00910462" w:rsidRPr="007061E6" w:rsidRDefault="004A4FDC">
          <w:pPr>
            <w:pStyle w:val="Sommario1"/>
            <w:tabs>
              <w:tab w:val="right" w:pos="9350"/>
            </w:tabs>
            <w:rPr>
              <w:rFonts w:asciiTheme="majorHAnsi" w:eastAsiaTheme="minorEastAsia" w:hAnsiTheme="majorHAnsi" w:cstheme="minorBidi"/>
              <w:noProof/>
            </w:rPr>
          </w:pPr>
          <w:hyperlink w:anchor="_Toc60993387" w:history="1">
            <w:r w:rsidR="00910462" w:rsidRPr="007061E6">
              <w:rPr>
                <w:rStyle w:val="Collegamentoipertestuale"/>
                <w:rFonts w:asciiTheme="majorHAnsi" w:hAnsiTheme="majorHAnsi"/>
                <w:noProof/>
              </w:rPr>
              <w:t>2. LA MOBILITÀ ELETTRICA COME RISPOSTA AI MACROTREND</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_Toc60993387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4</w:t>
            </w:r>
            <w:r w:rsidR="00910462" w:rsidRPr="007061E6">
              <w:rPr>
                <w:rFonts w:asciiTheme="majorHAnsi" w:hAnsiTheme="majorHAnsi"/>
                <w:noProof/>
                <w:webHidden/>
              </w:rPr>
              <w:fldChar w:fldCharType="end"/>
            </w:r>
          </w:hyperlink>
        </w:p>
        <w:p w14:paraId="39BD741E" w14:textId="77777777" w:rsidR="00910462" w:rsidRPr="007061E6" w:rsidRDefault="004A4FDC">
          <w:pPr>
            <w:pStyle w:val="Sommario2"/>
            <w:tabs>
              <w:tab w:val="right" w:pos="9350"/>
            </w:tabs>
            <w:rPr>
              <w:rFonts w:asciiTheme="majorHAnsi" w:eastAsiaTheme="minorEastAsia" w:hAnsiTheme="majorHAnsi" w:cstheme="minorBidi"/>
              <w:noProof/>
            </w:rPr>
          </w:pPr>
          <w:hyperlink w:anchor="_Toc60993388" w:history="1">
            <w:r w:rsidR="00910462" w:rsidRPr="007061E6">
              <w:rPr>
                <w:rStyle w:val="Collegamentoipertestuale"/>
                <w:rFonts w:asciiTheme="majorHAnsi" w:hAnsiTheme="majorHAnsi"/>
                <w:noProof/>
              </w:rPr>
              <w:t>2.1 L’integrazione con le rinnovabili e “storage in motion”</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_Toc60993388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4</w:t>
            </w:r>
            <w:r w:rsidR="00910462" w:rsidRPr="007061E6">
              <w:rPr>
                <w:rFonts w:asciiTheme="majorHAnsi" w:hAnsiTheme="majorHAnsi"/>
                <w:noProof/>
                <w:webHidden/>
              </w:rPr>
              <w:fldChar w:fldCharType="end"/>
            </w:r>
          </w:hyperlink>
        </w:p>
        <w:p w14:paraId="341C8787" w14:textId="77777777" w:rsidR="00910462" w:rsidRPr="007061E6" w:rsidRDefault="004A4FDC">
          <w:pPr>
            <w:pStyle w:val="Sommario2"/>
            <w:tabs>
              <w:tab w:val="right" w:pos="9350"/>
            </w:tabs>
            <w:rPr>
              <w:rFonts w:asciiTheme="majorHAnsi" w:eastAsiaTheme="minorEastAsia" w:hAnsiTheme="majorHAnsi" w:cstheme="minorBidi"/>
              <w:noProof/>
            </w:rPr>
          </w:pPr>
          <w:hyperlink w:anchor="_Toc60993389" w:history="1">
            <w:r w:rsidR="00910462" w:rsidRPr="007061E6">
              <w:rPr>
                <w:rStyle w:val="Collegamentoipertestuale"/>
                <w:rFonts w:asciiTheme="majorHAnsi" w:hAnsiTheme="majorHAnsi"/>
                <w:noProof/>
              </w:rPr>
              <w:t>2.2 Riconfigurare le città: i nodi e i layer per ripensare il trasporto di persone e merci</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_Toc60993389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4</w:t>
            </w:r>
            <w:r w:rsidR="00910462" w:rsidRPr="007061E6">
              <w:rPr>
                <w:rFonts w:asciiTheme="majorHAnsi" w:hAnsiTheme="majorHAnsi"/>
                <w:noProof/>
                <w:webHidden/>
              </w:rPr>
              <w:fldChar w:fldCharType="end"/>
            </w:r>
          </w:hyperlink>
        </w:p>
        <w:p w14:paraId="45881DB6" w14:textId="77777777" w:rsidR="00910462" w:rsidRPr="007061E6" w:rsidRDefault="004A4FDC">
          <w:pPr>
            <w:pStyle w:val="Sommario2"/>
            <w:tabs>
              <w:tab w:val="right" w:pos="9350"/>
            </w:tabs>
            <w:rPr>
              <w:rFonts w:asciiTheme="majorHAnsi" w:eastAsiaTheme="minorEastAsia" w:hAnsiTheme="majorHAnsi" w:cstheme="minorBidi"/>
              <w:noProof/>
            </w:rPr>
          </w:pPr>
          <w:hyperlink w:anchor="_Toc60993390" w:history="1">
            <w:r w:rsidR="00910462" w:rsidRPr="007061E6">
              <w:rPr>
                <w:rStyle w:val="Collegamentoipertestuale"/>
                <w:rFonts w:asciiTheme="majorHAnsi" w:hAnsiTheme="majorHAnsi"/>
                <w:noProof/>
              </w:rPr>
              <w:t>2.3 La pubblica amministrazione e i suoi concessionari come guida per il cambiamento e opportunità di sviluppo locale.</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_Toc60993390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5</w:t>
            </w:r>
            <w:r w:rsidR="00910462" w:rsidRPr="007061E6">
              <w:rPr>
                <w:rFonts w:asciiTheme="majorHAnsi" w:hAnsiTheme="majorHAnsi"/>
                <w:noProof/>
                <w:webHidden/>
              </w:rPr>
              <w:fldChar w:fldCharType="end"/>
            </w:r>
          </w:hyperlink>
        </w:p>
        <w:p w14:paraId="11E89687" w14:textId="77777777" w:rsidR="00910462" w:rsidRPr="007061E6" w:rsidRDefault="004A4FDC">
          <w:pPr>
            <w:pStyle w:val="Sommario2"/>
            <w:tabs>
              <w:tab w:val="right" w:pos="9350"/>
            </w:tabs>
            <w:rPr>
              <w:rFonts w:asciiTheme="majorHAnsi" w:eastAsiaTheme="minorEastAsia" w:hAnsiTheme="majorHAnsi" w:cstheme="minorBidi"/>
              <w:noProof/>
            </w:rPr>
          </w:pPr>
          <w:hyperlink w:anchor="_Toc60993391" w:history="1">
            <w:r w:rsidR="00910462" w:rsidRPr="007061E6">
              <w:rPr>
                <w:rStyle w:val="Collegamentoipertestuale"/>
                <w:rFonts w:asciiTheme="majorHAnsi" w:hAnsiTheme="majorHAnsi"/>
                <w:noProof/>
              </w:rPr>
              <w:t>2.4 L’industria italiana: una transizione decisiva.</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_Toc60993391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6</w:t>
            </w:r>
            <w:r w:rsidR="00910462" w:rsidRPr="007061E6">
              <w:rPr>
                <w:rFonts w:asciiTheme="majorHAnsi" w:hAnsiTheme="majorHAnsi"/>
                <w:noProof/>
                <w:webHidden/>
              </w:rPr>
              <w:fldChar w:fldCharType="end"/>
            </w:r>
          </w:hyperlink>
        </w:p>
        <w:p w14:paraId="22E3707E" w14:textId="77777777" w:rsidR="00910462" w:rsidRPr="007061E6" w:rsidRDefault="004A4FDC">
          <w:pPr>
            <w:pStyle w:val="Sommario1"/>
            <w:tabs>
              <w:tab w:val="right" w:pos="9350"/>
            </w:tabs>
            <w:rPr>
              <w:rFonts w:asciiTheme="majorHAnsi" w:eastAsiaTheme="minorEastAsia" w:hAnsiTheme="majorHAnsi" w:cstheme="minorBidi"/>
              <w:noProof/>
            </w:rPr>
          </w:pPr>
          <w:hyperlink w:anchor="_Toc60993392" w:history="1">
            <w:r w:rsidR="00910462" w:rsidRPr="007061E6">
              <w:rPr>
                <w:rStyle w:val="Collegamentoipertestuale"/>
                <w:rFonts w:asciiTheme="majorHAnsi" w:hAnsiTheme="majorHAnsi"/>
                <w:noProof/>
              </w:rPr>
              <w:t>3. PIANO NAZIONALE DI RIPRESA E RILANCIO: PROGETTI E RIFORME SULLA MOBILITA’ ELETTRICA</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_Toc60993392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8</w:t>
            </w:r>
            <w:r w:rsidR="00910462" w:rsidRPr="007061E6">
              <w:rPr>
                <w:rFonts w:asciiTheme="majorHAnsi" w:hAnsiTheme="majorHAnsi"/>
                <w:noProof/>
                <w:webHidden/>
              </w:rPr>
              <w:fldChar w:fldCharType="end"/>
            </w:r>
          </w:hyperlink>
        </w:p>
        <w:p w14:paraId="0A5F5523" w14:textId="77777777" w:rsidR="00910462" w:rsidRPr="007061E6" w:rsidRDefault="004A4FDC">
          <w:pPr>
            <w:pStyle w:val="Sommario2"/>
            <w:tabs>
              <w:tab w:val="right" w:pos="9350"/>
            </w:tabs>
            <w:rPr>
              <w:rFonts w:asciiTheme="majorHAnsi" w:eastAsiaTheme="minorEastAsia" w:hAnsiTheme="majorHAnsi" w:cstheme="minorBidi"/>
              <w:noProof/>
            </w:rPr>
          </w:pPr>
          <w:hyperlink w:anchor="_Toc60993393" w:history="1">
            <w:r w:rsidR="00910462" w:rsidRPr="007061E6">
              <w:rPr>
                <w:rStyle w:val="Collegamentoipertestuale"/>
                <w:rFonts w:asciiTheme="majorHAnsi" w:hAnsiTheme="majorHAnsi"/>
                <w:noProof/>
              </w:rPr>
              <w:t>3.1 Riforme e misure che non necessitano di investimenti</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_Toc60993393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8</w:t>
            </w:r>
            <w:r w:rsidR="00910462" w:rsidRPr="007061E6">
              <w:rPr>
                <w:rFonts w:asciiTheme="majorHAnsi" w:hAnsiTheme="majorHAnsi"/>
                <w:noProof/>
                <w:webHidden/>
              </w:rPr>
              <w:fldChar w:fldCharType="end"/>
            </w:r>
          </w:hyperlink>
        </w:p>
        <w:p w14:paraId="0651DE82" w14:textId="77777777" w:rsidR="00910462" w:rsidRPr="007061E6" w:rsidRDefault="004A4FDC">
          <w:pPr>
            <w:pStyle w:val="Sommario2"/>
            <w:tabs>
              <w:tab w:val="right" w:pos="9350"/>
            </w:tabs>
            <w:rPr>
              <w:rFonts w:asciiTheme="majorHAnsi" w:eastAsiaTheme="minorEastAsia" w:hAnsiTheme="majorHAnsi" w:cstheme="minorBidi"/>
              <w:noProof/>
            </w:rPr>
          </w:pPr>
          <w:hyperlink w:anchor="_Toc60993394" w:history="1">
            <w:r w:rsidR="00910462" w:rsidRPr="007061E6">
              <w:rPr>
                <w:rStyle w:val="Collegamentoipertestuale"/>
                <w:rFonts w:asciiTheme="majorHAnsi" w:hAnsiTheme="majorHAnsi"/>
                <w:noProof/>
              </w:rPr>
              <w:t>3.2 Investimenti</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_Toc60993394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9</w:t>
            </w:r>
            <w:r w:rsidR="00910462" w:rsidRPr="007061E6">
              <w:rPr>
                <w:rFonts w:asciiTheme="majorHAnsi" w:hAnsiTheme="majorHAnsi"/>
                <w:noProof/>
                <w:webHidden/>
              </w:rPr>
              <w:fldChar w:fldCharType="end"/>
            </w:r>
          </w:hyperlink>
        </w:p>
        <w:p w14:paraId="0DD1DCF3" w14:textId="77777777" w:rsidR="00910462" w:rsidRPr="007061E6" w:rsidRDefault="004A4FDC">
          <w:pPr>
            <w:pStyle w:val="Sommario3"/>
            <w:tabs>
              <w:tab w:val="right" w:pos="9350"/>
            </w:tabs>
            <w:rPr>
              <w:rFonts w:asciiTheme="majorHAnsi" w:eastAsiaTheme="minorEastAsia" w:hAnsiTheme="majorHAnsi" w:cstheme="minorBidi"/>
              <w:noProof/>
            </w:rPr>
          </w:pPr>
          <w:hyperlink w:anchor="_Toc60993395" w:history="1">
            <w:r w:rsidR="00910462" w:rsidRPr="007061E6">
              <w:rPr>
                <w:rStyle w:val="Collegamentoipertestuale"/>
                <w:rFonts w:asciiTheme="majorHAnsi" w:hAnsiTheme="majorHAnsi"/>
                <w:noProof/>
              </w:rPr>
              <w:t>Domanda</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_Toc60993395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9</w:t>
            </w:r>
            <w:r w:rsidR="00910462" w:rsidRPr="007061E6">
              <w:rPr>
                <w:rFonts w:asciiTheme="majorHAnsi" w:hAnsiTheme="majorHAnsi"/>
                <w:noProof/>
                <w:webHidden/>
              </w:rPr>
              <w:fldChar w:fldCharType="end"/>
            </w:r>
          </w:hyperlink>
        </w:p>
        <w:p w14:paraId="471600D6" w14:textId="77777777" w:rsidR="00910462" w:rsidRPr="007061E6" w:rsidRDefault="004A4FDC">
          <w:pPr>
            <w:pStyle w:val="Sommario3"/>
            <w:tabs>
              <w:tab w:val="right" w:pos="9350"/>
            </w:tabs>
            <w:rPr>
              <w:rFonts w:asciiTheme="majorHAnsi" w:eastAsiaTheme="minorEastAsia" w:hAnsiTheme="majorHAnsi" w:cstheme="minorBidi"/>
              <w:noProof/>
            </w:rPr>
          </w:pPr>
          <w:hyperlink w:anchor="_Toc60993396" w:history="1">
            <w:r w:rsidR="00910462" w:rsidRPr="007061E6">
              <w:rPr>
                <w:rStyle w:val="Collegamentoipertestuale"/>
                <w:rFonts w:asciiTheme="majorHAnsi" w:hAnsiTheme="majorHAnsi"/>
                <w:noProof/>
              </w:rPr>
              <w:t>Infrastrutture</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_Toc60993396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10</w:t>
            </w:r>
            <w:r w:rsidR="00910462" w:rsidRPr="007061E6">
              <w:rPr>
                <w:rFonts w:asciiTheme="majorHAnsi" w:hAnsiTheme="majorHAnsi"/>
                <w:noProof/>
                <w:webHidden/>
              </w:rPr>
              <w:fldChar w:fldCharType="end"/>
            </w:r>
          </w:hyperlink>
        </w:p>
        <w:p w14:paraId="322AF22D" w14:textId="77777777" w:rsidR="00910462" w:rsidRPr="007061E6" w:rsidRDefault="004A4FDC">
          <w:pPr>
            <w:pStyle w:val="Sommario3"/>
            <w:tabs>
              <w:tab w:val="right" w:pos="9350"/>
            </w:tabs>
            <w:rPr>
              <w:rFonts w:asciiTheme="majorHAnsi" w:eastAsiaTheme="minorEastAsia" w:hAnsiTheme="majorHAnsi" w:cstheme="minorBidi"/>
              <w:noProof/>
            </w:rPr>
          </w:pPr>
          <w:hyperlink w:anchor="_Toc60993397" w:history="1">
            <w:r w:rsidR="00910462" w:rsidRPr="007061E6">
              <w:rPr>
                <w:rStyle w:val="Collegamentoipertestuale"/>
                <w:rFonts w:asciiTheme="majorHAnsi" w:hAnsiTheme="majorHAnsi"/>
                <w:noProof/>
              </w:rPr>
              <w:t>Offerta</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_Toc60993397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11</w:t>
            </w:r>
            <w:r w:rsidR="00910462" w:rsidRPr="007061E6">
              <w:rPr>
                <w:rFonts w:asciiTheme="majorHAnsi" w:hAnsiTheme="majorHAnsi"/>
                <w:noProof/>
                <w:webHidden/>
              </w:rPr>
              <w:fldChar w:fldCharType="end"/>
            </w:r>
          </w:hyperlink>
        </w:p>
        <w:p w14:paraId="3499796C" w14:textId="77777777" w:rsidR="00910462" w:rsidRPr="007061E6" w:rsidRDefault="004A4FDC">
          <w:pPr>
            <w:pStyle w:val="Sommario1"/>
            <w:tabs>
              <w:tab w:val="right" w:pos="9350"/>
            </w:tabs>
            <w:rPr>
              <w:rFonts w:asciiTheme="majorHAnsi" w:eastAsiaTheme="minorEastAsia" w:hAnsiTheme="majorHAnsi" w:cstheme="minorBidi"/>
              <w:noProof/>
            </w:rPr>
          </w:pPr>
          <w:hyperlink w:anchor="_Toc60993398" w:history="1">
            <w:r w:rsidR="00910462" w:rsidRPr="007061E6">
              <w:rPr>
                <w:rStyle w:val="Collegamentoipertestuale"/>
                <w:rFonts w:asciiTheme="majorHAnsi" w:hAnsiTheme="majorHAnsi"/>
                <w:noProof/>
              </w:rPr>
              <w:t>4. RISORSE DA INDIRIZZARE</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_Toc60993398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14</w:t>
            </w:r>
            <w:r w:rsidR="00910462" w:rsidRPr="007061E6">
              <w:rPr>
                <w:rFonts w:asciiTheme="majorHAnsi" w:hAnsiTheme="majorHAnsi"/>
                <w:noProof/>
                <w:webHidden/>
              </w:rPr>
              <w:fldChar w:fldCharType="end"/>
            </w:r>
          </w:hyperlink>
        </w:p>
        <w:p w14:paraId="7ED3EC3D" w14:textId="77777777" w:rsidR="00910462" w:rsidRPr="007061E6" w:rsidRDefault="004A4FDC">
          <w:pPr>
            <w:pStyle w:val="Sommario1"/>
            <w:tabs>
              <w:tab w:val="right" w:pos="9350"/>
            </w:tabs>
            <w:rPr>
              <w:rFonts w:asciiTheme="majorHAnsi" w:eastAsiaTheme="minorEastAsia" w:hAnsiTheme="majorHAnsi" w:cstheme="minorBidi"/>
              <w:noProof/>
            </w:rPr>
          </w:pPr>
          <w:hyperlink w:anchor="_Toc60993399" w:history="1">
            <w:r w:rsidR="00910462" w:rsidRPr="007061E6">
              <w:rPr>
                <w:rStyle w:val="Collegamentoipertestuale"/>
                <w:rFonts w:asciiTheme="majorHAnsi" w:hAnsiTheme="majorHAnsi"/>
                <w:noProof/>
              </w:rPr>
              <w:t>5. TABELLE RIEPILOGO</w:t>
            </w:r>
            <w:r w:rsidR="00910462" w:rsidRPr="007061E6">
              <w:rPr>
                <w:rFonts w:asciiTheme="majorHAnsi" w:hAnsiTheme="majorHAnsi"/>
                <w:noProof/>
                <w:webHidden/>
              </w:rPr>
              <w:tab/>
            </w:r>
            <w:r w:rsidR="00910462" w:rsidRPr="007061E6">
              <w:rPr>
                <w:rFonts w:asciiTheme="majorHAnsi" w:hAnsiTheme="majorHAnsi"/>
                <w:noProof/>
                <w:webHidden/>
              </w:rPr>
              <w:fldChar w:fldCharType="begin"/>
            </w:r>
            <w:r w:rsidR="00910462" w:rsidRPr="007061E6">
              <w:rPr>
                <w:rFonts w:asciiTheme="majorHAnsi" w:hAnsiTheme="majorHAnsi"/>
                <w:noProof/>
                <w:webHidden/>
              </w:rPr>
              <w:instrText xml:space="preserve"> PAGEREF _Toc60993399 \h </w:instrText>
            </w:r>
            <w:r w:rsidR="00910462" w:rsidRPr="007061E6">
              <w:rPr>
                <w:rFonts w:asciiTheme="majorHAnsi" w:hAnsiTheme="majorHAnsi"/>
                <w:noProof/>
                <w:webHidden/>
              </w:rPr>
            </w:r>
            <w:r w:rsidR="00910462" w:rsidRPr="007061E6">
              <w:rPr>
                <w:rFonts w:asciiTheme="majorHAnsi" w:hAnsiTheme="majorHAnsi"/>
                <w:noProof/>
                <w:webHidden/>
              </w:rPr>
              <w:fldChar w:fldCharType="separate"/>
            </w:r>
            <w:r w:rsidR="004C0100">
              <w:rPr>
                <w:rFonts w:asciiTheme="majorHAnsi" w:hAnsiTheme="majorHAnsi"/>
                <w:noProof/>
                <w:webHidden/>
              </w:rPr>
              <w:t>16</w:t>
            </w:r>
            <w:r w:rsidR="00910462" w:rsidRPr="007061E6">
              <w:rPr>
                <w:rFonts w:asciiTheme="majorHAnsi" w:hAnsiTheme="majorHAnsi"/>
                <w:noProof/>
                <w:webHidden/>
              </w:rPr>
              <w:fldChar w:fldCharType="end"/>
            </w:r>
          </w:hyperlink>
        </w:p>
        <w:p w14:paraId="231ACF5B" w14:textId="77777777" w:rsidR="009A4F8F" w:rsidRPr="007061E6" w:rsidRDefault="00614CD8" w:rsidP="00C550B7">
          <w:pPr>
            <w:tabs>
              <w:tab w:val="right" w:pos="9360"/>
            </w:tabs>
            <w:spacing w:before="200" w:after="80" w:line="240" w:lineRule="auto"/>
            <w:rPr>
              <w:rFonts w:asciiTheme="majorHAnsi" w:eastAsia="Calibri" w:hAnsiTheme="majorHAnsi" w:cs="Calibri"/>
              <w:b/>
            </w:rPr>
          </w:pPr>
          <w:r w:rsidRPr="007061E6">
            <w:rPr>
              <w:rFonts w:asciiTheme="majorHAnsi" w:hAnsiTheme="majorHAnsi"/>
            </w:rPr>
            <w:fldChar w:fldCharType="end"/>
          </w:r>
        </w:p>
      </w:sdtContent>
    </w:sdt>
    <w:p w14:paraId="56919ED0" w14:textId="77777777" w:rsidR="001F1731" w:rsidRPr="007061E6" w:rsidRDefault="001F1731">
      <w:pPr>
        <w:rPr>
          <w:rFonts w:asciiTheme="majorHAnsi" w:eastAsia="Calibri" w:hAnsiTheme="majorHAnsi" w:cs="Calibri"/>
          <w:b/>
        </w:rPr>
      </w:pPr>
    </w:p>
    <w:p w14:paraId="2B8679B7" w14:textId="77777777" w:rsidR="001F1731" w:rsidRPr="007061E6" w:rsidRDefault="001F1731" w:rsidP="00910462">
      <w:pPr>
        <w:pStyle w:val="Titolo1"/>
        <w:rPr>
          <w:rFonts w:asciiTheme="majorHAnsi" w:hAnsiTheme="majorHAnsi"/>
        </w:rPr>
      </w:pPr>
      <w:r w:rsidRPr="007061E6">
        <w:rPr>
          <w:rFonts w:asciiTheme="majorHAnsi" w:hAnsiTheme="majorHAnsi"/>
        </w:rPr>
        <w:br w:type="page"/>
      </w:r>
      <w:bookmarkStart w:id="1" w:name="_Toc60993386"/>
      <w:r w:rsidR="00910462" w:rsidRPr="007061E6">
        <w:rPr>
          <w:rFonts w:asciiTheme="majorHAnsi" w:hAnsiTheme="majorHAnsi"/>
        </w:rPr>
        <w:lastRenderedPageBreak/>
        <w:t xml:space="preserve">1. </w:t>
      </w:r>
      <w:r w:rsidRPr="007061E6">
        <w:rPr>
          <w:rFonts w:asciiTheme="majorHAnsi" w:hAnsiTheme="majorHAnsi"/>
        </w:rPr>
        <w:t>INTRODUZIONE</w:t>
      </w:r>
      <w:bookmarkEnd w:id="1"/>
    </w:p>
    <w:p w14:paraId="60F82763"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La sostenibilità nella mobilità passa attraverso una visione costituita da tre elementi essenziali:</w:t>
      </w:r>
      <w:r w:rsidR="00910462" w:rsidRPr="007061E6">
        <w:rPr>
          <w:rFonts w:asciiTheme="majorHAnsi" w:eastAsia="Calibri" w:hAnsiTheme="majorHAnsi" w:cs="Calibri"/>
        </w:rPr>
        <w:t xml:space="preserve"> </w:t>
      </w:r>
      <w:r w:rsidRPr="007061E6">
        <w:rPr>
          <w:rFonts w:asciiTheme="majorHAnsi" w:eastAsia="Calibri" w:hAnsiTheme="majorHAnsi" w:cs="Calibri"/>
        </w:rPr>
        <w:t>energia rinnovabile, elettrificazione, economia circolare nei materiali.</w:t>
      </w:r>
    </w:p>
    <w:p w14:paraId="2B0BECDD"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 xml:space="preserve">Con queste premesse, la mobilità elettrica è un miglioramento tecnologico ineludibile sia per l’importante contributo alla decarbonizzazione del settore trasporti rispetto ai combustibili fossili, riduzione destinata ad aumentare con la crescita della produzione da fonti rinnovabili, sia per il miglioramento della qualità dell’aria nelle nostre città. Ricordiamo che l’Italia è il peggior paese in Europa per morti premature causate da inquinamento atmosferico di tutti e 3 gli inquinanti più pericolosi, PM2.5, NO2 e O3 (dati 2020 della European Environmental Agency). </w:t>
      </w:r>
    </w:p>
    <w:p w14:paraId="038AA358"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Il tema dell’efficienza energetica è parimenti essenziale per minimizzare gli impatti ambientali e la mobilità elettrica presenta la più alta efficienza nel trasferimento di energia, rispetto a qualunque altro mezzo (fossile o idrogeno). La decarbonizzazione dei trasporti su strada contribuirà al raggiungimento all’obiettivo europeo di riduzione del 55% della CO2 negli usi finali entro 10 anni.</w:t>
      </w:r>
    </w:p>
    <w:p w14:paraId="78A91E43" w14:textId="77777777" w:rsidR="001F1731" w:rsidRPr="007061E6" w:rsidRDefault="001F1731" w:rsidP="001F1731">
      <w:pPr>
        <w:pBdr>
          <w:top w:val="nil"/>
          <w:left w:val="nil"/>
          <w:bottom w:val="nil"/>
          <w:right w:val="nil"/>
          <w:between w:val="nil"/>
        </w:pBdr>
        <w:ind w:right="-129" w:firstLine="26"/>
        <w:jc w:val="both"/>
        <w:rPr>
          <w:rFonts w:asciiTheme="majorHAnsi" w:eastAsia="Calibri" w:hAnsiTheme="majorHAnsi" w:cs="Calibri"/>
        </w:rPr>
      </w:pPr>
      <w:r w:rsidRPr="007061E6">
        <w:rPr>
          <w:rFonts w:asciiTheme="majorHAnsi" w:eastAsia="Calibri" w:hAnsiTheme="majorHAnsi" w:cs="Calibri"/>
        </w:rPr>
        <w:t>Essenziale sarà il miglioramento sensibile che l</w:t>
      </w:r>
      <w:r w:rsidRPr="007061E6">
        <w:rPr>
          <w:rFonts w:asciiTheme="majorHAnsi" w:hAnsiTheme="majorHAnsi"/>
        </w:rPr>
        <w:t>’e</w:t>
      </w:r>
      <w:r w:rsidRPr="007061E6">
        <w:rPr>
          <w:rFonts w:asciiTheme="majorHAnsi" w:eastAsia="Calibri" w:hAnsiTheme="majorHAnsi" w:cs="Calibri"/>
        </w:rPr>
        <w:t>l</w:t>
      </w:r>
      <w:r w:rsidRPr="007061E6">
        <w:rPr>
          <w:rFonts w:asciiTheme="majorHAnsi" w:hAnsiTheme="majorHAnsi"/>
        </w:rPr>
        <w:t>ett</w:t>
      </w:r>
      <w:r w:rsidRPr="007061E6">
        <w:rPr>
          <w:rFonts w:asciiTheme="majorHAnsi" w:eastAsia="Calibri" w:hAnsiTheme="majorHAnsi" w:cs="Calibri"/>
        </w:rPr>
        <w:t>rificazione dei trasporti porterà in termini di decongestione delle città, grazie alla digitalizzazione della mobilità ed alle modalità di sharing e pooling dei mezzi. In questo senso si assisterà al progressivo abbandono della proprietà dei mezzi, al loro utilizzo solo “quando serve e dove serve”, al loro contributo alla rete elettrica, al progressivo ricorso alla guida autonoma. Si tratta insomma della costruzione di una nuova “Civiltà della Mobilità” in grado di contribuire efficacemente al miglioramento della qualità della vita.</w:t>
      </w:r>
    </w:p>
    <w:p w14:paraId="0AFAF27E" w14:textId="77777777" w:rsidR="001F1731" w:rsidRPr="007061E6" w:rsidRDefault="001F1731" w:rsidP="001F1731">
      <w:pPr>
        <w:pBdr>
          <w:top w:val="nil"/>
          <w:left w:val="nil"/>
          <w:bottom w:val="nil"/>
          <w:right w:val="nil"/>
          <w:between w:val="nil"/>
        </w:pBdr>
        <w:ind w:right="-129" w:firstLine="26"/>
        <w:jc w:val="both"/>
        <w:rPr>
          <w:rFonts w:asciiTheme="majorHAnsi" w:eastAsia="Calibri" w:hAnsiTheme="majorHAnsi" w:cs="Calibri"/>
        </w:rPr>
      </w:pPr>
      <w:r w:rsidRPr="007061E6">
        <w:rPr>
          <w:rFonts w:asciiTheme="majorHAnsi" w:eastAsia="Calibri" w:hAnsiTheme="majorHAnsi" w:cs="Calibri"/>
        </w:rPr>
        <w:t>Gli aspetti sopra accennati sono talmente consolidati a livello politico e industriale che la Strategia Europea, oltre che programmi sulla produzione di batterie, prevede la completa sostituzione con mezzi a batteria in tutte le applicazioni di trasporto persone e merci su gomma da qui al 2050.</w:t>
      </w:r>
    </w:p>
    <w:p w14:paraId="583592E1"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L’Italia, come produttore di mezzi ma anche e soprattutto come esportatore netto di componenti e macchinari per le industrie automobilistiche straniere, deve investire OGGI in questa transizione.</w:t>
      </w:r>
    </w:p>
    <w:p w14:paraId="1A50AA0B"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Se non sarà in grado di supportare la crescita di una filiera nazionale che già presenta competenze di valore, vedrà perdere quote di mercato crescenti a favore di competitor europei e vedrà ridursi sempre di più i posti di lavoro ad alto valore aggiunto che la mobilità elettrica garantirà.</w:t>
      </w:r>
    </w:p>
    <w:p w14:paraId="2398157B"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La transizione verso la mobilità elettrica corrisponde dunque ai principi della Next Generation UE e interessa tutti i relativi ambiti politici di rilevanza europea dell’iniziativa: transizione verde, trasformazione digitale, coesione economica e competitività, coesione sociale e territoriale, reazione e preparazione alle crisi, politiche per le nuove generazioni.</w:t>
      </w:r>
    </w:p>
    <w:p w14:paraId="1C7CCCFA" w14:textId="77777777" w:rsidR="001F1731" w:rsidRPr="007061E6" w:rsidRDefault="001F1731" w:rsidP="001F1731">
      <w:pPr>
        <w:ind w:right="-129" w:firstLine="26"/>
        <w:jc w:val="both"/>
        <w:rPr>
          <w:rFonts w:asciiTheme="majorHAnsi" w:eastAsia="Calibri" w:hAnsiTheme="majorHAnsi" w:cs="Calibri"/>
        </w:rPr>
      </w:pPr>
      <w:r w:rsidRPr="007061E6">
        <w:rPr>
          <w:rFonts w:asciiTheme="majorHAnsi" w:eastAsia="Calibri" w:hAnsiTheme="majorHAnsi" w:cs="Calibri"/>
        </w:rPr>
        <w:t>Ricordiamo che piuttosto che trasferire debiti alle nuove generazioni sarà essenziale pre</w:t>
      </w:r>
      <w:sdt>
        <w:sdtPr>
          <w:rPr>
            <w:rFonts w:asciiTheme="majorHAnsi" w:hAnsiTheme="majorHAnsi"/>
          </w:rPr>
          <w:tag w:val="goog_rdk_3"/>
          <w:id w:val="1998300380"/>
        </w:sdtPr>
        <w:sdtEndPr/>
        <w:sdtContent>
          <w:r w:rsidRPr="007061E6">
            <w:rPr>
              <w:rFonts w:asciiTheme="majorHAnsi" w:eastAsia="Calibri" w:hAnsiTheme="majorHAnsi" w:cs="Calibri"/>
            </w:rPr>
            <w:t>disporre</w:t>
          </w:r>
        </w:sdtContent>
      </w:sdt>
      <w:sdt>
        <w:sdtPr>
          <w:rPr>
            <w:rFonts w:asciiTheme="majorHAnsi" w:hAnsiTheme="majorHAnsi"/>
          </w:rPr>
          <w:tag w:val="goog_rdk_4"/>
          <w:id w:val="-483402304"/>
        </w:sdtPr>
        <w:sdtEndPr/>
        <w:sdtContent>
          <w:r w:rsidRPr="007061E6">
            <w:rPr>
              <w:rFonts w:asciiTheme="majorHAnsi" w:hAnsiTheme="majorHAnsi"/>
            </w:rPr>
            <w:t xml:space="preserve"> </w:t>
          </w:r>
        </w:sdtContent>
      </w:sdt>
      <w:r w:rsidR="00505389" w:rsidRPr="007061E6">
        <w:rPr>
          <w:rFonts w:asciiTheme="majorHAnsi" w:eastAsia="Calibri" w:hAnsiTheme="majorHAnsi" w:cs="Calibri"/>
        </w:rPr>
        <w:t xml:space="preserve">un sistema </w:t>
      </w:r>
      <w:r w:rsidRPr="007061E6">
        <w:rPr>
          <w:rFonts w:asciiTheme="majorHAnsi" w:eastAsia="Calibri" w:hAnsiTheme="majorHAnsi" w:cs="Calibri"/>
        </w:rPr>
        <w:t>produttivo in grado di generare crescita sostenibile e recuperare gli impegni.</w:t>
      </w:r>
      <w:r w:rsidRPr="007061E6">
        <w:rPr>
          <w:rFonts w:asciiTheme="majorHAnsi" w:eastAsia="Calibri" w:hAnsiTheme="majorHAnsi" w:cs="Calibri"/>
        </w:rPr>
        <w:br/>
      </w:r>
      <w:sdt>
        <w:sdtPr>
          <w:rPr>
            <w:rFonts w:asciiTheme="majorHAnsi" w:hAnsiTheme="majorHAnsi"/>
          </w:rPr>
          <w:tag w:val="goog_rdk_6"/>
          <w:id w:val="-531506068"/>
        </w:sdtPr>
        <w:sdtEndPr/>
        <w:sdtContent>
          <w:r w:rsidRPr="007061E6">
            <w:rPr>
              <w:rFonts w:asciiTheme="majorHAnsi" w:eastAsia="Calibri" w:hAnsiTheme="majorHAnsi" w:cs="Calibri"/>
            </w:rPr>
            <w:t>Il Recovery Plan rappresenta lo strumento finanziario per dare corpo a questo futuro attraverso “piani nazionali ambiziosi e credibili”.</w:t>
          </w:r>
          <w:sdt>
            <w:sdtPr>
              <w:rPr>
                <w:rFonts w:asciiTheme="majorHAnsi" w:hAnsiTheme="majorHAnsi"/>
              </w:rPr>
              <w:tag w:val="goog_rdk_5"/>
              <w:id w:val="2008100467"/>
              <w:showingPlcHdr/>
            </w:sdtPr>
            <w:sdtEndPr/>
            <w:sdtContent>
              <w:r w:rsidRPr="007061E6">
                <w:rPr>
                  <w:rFonts w:asciiTheme="majorHAnsi" w:hAnsiTheme="majorHAnsi"/>
                </w:rPr>
                <w:t xml:space="preserve">     </w:t>
              </w:r>
            </w:sdtContent>
          </w:sdt>
        </w:sdtContent>
      </w:sdt>
    </w:p>
    <w:p w14:paraId="7AD05C9F" w14:textId="77777777" w:rsidR="001F1731" w:rsidRPr="007061E6" w:rsidRDefault="001F1731" w:rsidP="001F1731">
      <w:pPr>
        <w:ind w:right="-129"/>
        <w:jc w:val="both"/>
        <w:rPr>
          <w:rFonts w:asciiTheme="majorHAnsi" w:eastAsia="Calibri" w:hAnsiTheme="majorHAnsi" w:cs="Calibri"/>
        </w:rPr>
      </w:pPr>
      <w:r w:rsidRPr="007061E6">
        <w:rPr>
          <w:rFonts w:asciiTheme="majorHAnsi" w:eastAsia="Calibri" w:hAnsiTheme="majorHAnsi" w:cs="Calibri"/>
          <w:color w:val="000000" w:themeColor="text1"/>
        </w:rPr>
        <w:t>Il presente documento vuole dunq</w:t>
      </w:r>
      <w:r w:rsidR="00505389" w:rsidRPr="007061E6">
        <w:rPr>
          <w:rFonts w:asciiTheme="majorHAnsi" w:eastAsia="Calibri" w:hAnsiTheme="majorHAnsi" w:cs="Calibri"/>
          <w:color w:val="000000" w:themeColor="text1"/>
        </w:rPr>
        <w:t>ue rappresentare, rispetto all’</w:t>
      </w:r>
      <w:r w:rsidRPr="007061E6">
        <w:rPr>
          <w:rFonts w:asciiTheme="majorHAnsi" w:eastAsia="Calibri" w:hAnsiTheme="majorHAnsi" w:cs="Calibri"/>
          <w:color w:val="000000" w:themeColor="text1"/>
        </w:rPr>
        <w:t>attuale Bozza del Governo, un diverso indirizzamento ed una maggiore focalizzazione di risorse già riportate dello stesso Plan, sulla mobilità</w:t>
      </w:r>
      <w:sdt>
        <w:sdtPr>
          <w:rPr>
            <w:rFonts w:asciiTheme="majorHAnsi" w:hAnsiTheme="majorHAnsi"/>
            <w:color w:val="000000" w:themeColor="text1"/>
          </w:rPr>
          <w:tag w:val="goog_rdk_9"/>
          <w:id w:val="2021280642"/>
        </w:sdtPr>
        <w:sdtEndPr/>
        <w:sdtContent>
          <w:r w:rsidRPr="007061E6">
            <w:rPr>
              <w:rFonts w:asciiTheme="majorHAnsi" w:hAnsiTheme="majorHAnsi"/>
              <w:color w:val="000000" w:themeColor="text1"/>
            </w:rPr>
            <w:t xml:space="preserve"> </w:t>
          </w:r>
          <w:r w:rsidRPr="007061E6">
            <w:rPr>
              <w:rFonts w:asciiTheme="majorHAnsi" w:eastAsia="Calibri" w:hAnsiTheme="majorHAnsi" w:cs="Calibri"/>
              <w:color w:val="000000" w:themeColor="text1"/>
            </w:rPr>
            <w:t>elettrica e sostenibile, evitando la dispersione verso programmi velleitari e con improbabile remuneratività, attraverso politiche realmente utili alla ripresa e transizione del nostro comparto industriale</w:t>
          </w:r>
          <w:r w:rsidR="007871E0" w:rsidRPr="007061E6">
            <w:rPr>
              <w:rFonts w:asciiTheme="majorHAnsi" w:eastAsia="Calibri" w:hAnsiTheme="majorHAnsi" w:cs="Calibri"/>
              <w:color w:val="000000" w:themeColor="text1"/>
            </w:rPr>
            <w:t>.</w:t>
          </w:r>
        </w:sdtContent>
      </w:sdt>
    </w:p>
    <w:p w14:paraId="267E3CBE" w14:textId="77777777" w:rsidR="009A4F8F" w:rsidRPr="007061E6" w:rsidRDefault="00910462" w:rsidP="00910462">
      <w:pPr>
        <w:pStyle w:val="Titolo1"/>
        <w:rPr>
          <w:rFonts w:asciiTheme="majorHAnsi" w:hAnsiTheme="majorHAnsi"/>
        </w:rPr>
      </w:pPr>
      <w:bookmarkStart w:id="2" w:name="_Toc60993387"/>
      <w:r w:rsidRPr="007061E6">
        <w:rPr>
          <w:rFonts w:asciiTheme="majorHAnsi" w:hAnsiTheme="majorHAnsi"/>
        </w:rPr>
        <w:lastRenderedPageBreak/>
        <w:t xml:space="preserve">2. </w:t>
      </w:r>
      <w:r w:rsidR="00614CD8" w:rsidRPr="007061E6">
        <w:rPr>
          <w:rFonts w:asciiTheme="majorHAnsi" w:hAnsiTheme="majorHAnsi"/>
        </w:rPr>
        <w:t>LA MOBILITÀ ELETTRICA COME RISPOSTA AI MACROTREND</w:t>
      </w:r>
      <w:bookmarkEnd w:id="2"/>
    </w:p>
    <w:p w14:paraId="53ED1DF6" w14:textId="77777777" w:rsidR="009A4F8F" w:rsidRPr="007061E6" w:rsidRDefault="00614CD8" w:rsidP="00910462">
      <w:pPr>
        <w:pStyle w:val="Titolo2"/>
        <w:rPr>
          <w:rFonts w:asciiTheme="majorHAnsi" w:hAnsiTheme="majorHAnsi"/>
        </w:rPr>
      </w:pPr>
      <w:bookmarkStart w:id="3" w:name="_Toc60993388"/>
      <w:r w:rsidRPr="007061E6">
        <w:rPr>
          <w:rFonts w:asciiTheme="majorHAnsi" w:hAnsiTheme="majorHAnsi"/>
        </w:rPr>
        <w:t>2.1 L’integrazione con le rinnovabili e “storage in motion”</w:t>
      </w:r>
      <w:bookmarkEnd w:id="3"/>
    </w:p>
    <w:p w14:paraId="4AA35782" w14:textId="77777777" w:rsidR="009A4F8F" w:rsidRPr="007061E6" w:rsidRDefault="00614CD8" w:rsidP="001F1731">
      <w:pPr>
        <w:jc w:val="both"/>
        <w:rPr>
          <w:rFonts w:asciiTheme="majorHAnsi" w:eastAsia="Calibri" w:hAnsiTheme="majorHAnsi" w:cs="Calibri"/>
        </w:rPr>
      </w:pPr>
      <w:r w:rsidRPr="007061E6">
        <w:rPr>
          <w:rFonts w:asciiTheme="majorHAnsi" w:eastAsia="Calibri" w:hAnsiTheme="majorHAnsi" w:cs="Calibri"/>
        </w:rPr>
        <w:t>L’obiettivo “emissioni zero nette” al 2050 dell</w:t>
      </w:r>
      <w:sdt>
        <w:sdtPr>
          <w:rPr>
            <w:rFonts w:asciiTheme="majorHAnsi" w:hAnsiTheme="majorHAnsi"/>
          </w:rPr>
          <w:tag w:val="goog_rdk_10"/>
          <w:id w:val="736906292"/>
        </w:sdtPr>
        <w:sdtEndPr/>
        <w:sdtContent>
          <w:r w:rsidRPr="007061E6">
            <w:rPr>
              <w:rFonts w:asciiTheme="majorHAnsi" w:eastAsia="Calibri" w:hAnsiTheme="majorHAnsi" w:cs="Calibri"/>
            </w:rPr>
            <w:t>’</w:t>
          </w:r>
        </w:sdtContent>
      </w:sdt>
      <w:r w:rsidRPr="007061E6">
        <w:rPr>
          <w:rFonts w:asciiTheme="majorHAnsi" w:eastAsia="Calibri" w:hAnsiTheme="majorHAnsi" w:cs="Calibri"/>
        </w:rPr>
        <w:t>UE spinge indiscutibilmente il futuro della generazione di energia elettrica verso l’aumento massivo di produzione da rinnovabili. Alla luce del necessario aggiornamento,</w:t>
      </w:r>
      <w:sdt>
        <w:sdtPr>
          <w:rPr>
            <w:rFonts w:asciiTheme="majorHAnsi" w:hAnsiTheme="majorHAnsi"/>
          </w:rPr>
          <w:tag w:val="goog_rdk_12"/>
          <w:id w:val="-284043601"/>
        </w:sdtPr>
        <w:sdtEndPr/>
        <w:sdtContent>
          <w:r w:rsidRPr="007061E6">
            <w:rPr>
              <w:rFonts w:asciiTheme="majorHAnsi" w:eastAsia="Calibri" w:hAnsiTheme="majorHAnsi" w:cs="Calibri"/>
            </w:rPr>
            <w:t xml:space="preserve"> </w:t>
          </w:r>
        </w:sdtContent>
      </w:sdt>
      <w:r w:rsidRPr="007061E6">
        <w:rPr>
          <w:rFonts w:asciiTheme="majorHAnsi" w:eastAsia="Calibri" w:hAnsiTheme="majorHAnsi" w:cs="Calibri"/>
        </w:rPr>
        <w:t>sulla base del nuovo obiettivo 2030 dell'UE (-55% di emissioni di CO2), il PNIEC sarà indirizzato verso</w:t>
      </w:r>
      <w:sdt>
        <w:sdtPr>
          <w:rPr>
            <w:rFonts w:asciiTheme="majorHAnsi" w:hAnsiTheme="majorHAnsi"/>
          </w:rPr>
          <w:tag w:val="goog_rdk_13"/>
          <w:id w:val="1516969215"/>
        </w:sdtPr>
        <w:sdtEndPr/>
        <w:sdtContent>
          <w:r w:rsidRPr="007061E6">
            <w:rPr>
              <w:rFonts w:asciiTheme="majorHAnsi" w:eastAsia="Calibri" w:hAnsiTheme="majorHAnsi" w:cs="Calibri"/>
            </w:rPr>
            <w:t xml:space="preserve"> </w:t>
          </w:r>
        </w:sdtContent>
      </w:sdt>
      <w:r w:rsidRPr="007061E6">
        <w:rPr>
          <w:rFonts w:asciiTheme="majorHAnsi" w:eastAsia="Calibri" w:hAnsiTheme="majorHAnsi" w:cs="Calibri"/>
        </w:rPr>
        <w:t>un target di 68,4 GW di Fotovoltaico e di 23,8 GW di eolico installati in Italia. Questa energia da una parte non può essere sprecata, visti gli obiettivi di efficienza che ci stiamo ponendo (-2,6 MTep</w:t>
      </w:r>
      <w:r w:rsidRPr="007061E6">
        <w:rPr>
          <w:rFonts w:asciiTheme="majorHAnsi" w:eastAsia="Calibri" w:hAnsiTheme="majorHAnsi" w:cs="Calibri"/>
          <w:vertAlign w:val="superscript"/>
        </w:rPr>
        <w:footnoteReference w:id="1"/>
      </w:r>
      <w:r w:rsidRPr="007061E6">
        <w:rPr>
          <w:rFonts w:asciiTheme="majorHAnsi" w:eastAsia="Calibri" w:hAnsiTheme="majorHAnsi" w:cs="Calibri"/>
        </w:rPr>
        <w:t xml:space="preserve"> nel solo settore trasporti, -9,3 MTep il totale al 2030), dall’altra verrà richiesta un</w:t>
      </w:r>
      <w:sdt>
        <w:sdtPr>
          <w:rPr>
            <w:rFonts w:asciiTheme="majorHAnsi" w:hAnsiTheme="majorHAnsi"/>
          </w:rPr>
          <w:tag w:val="goog_rdk_14"/>
          <w:id w:val="-1284965507"/>
        </w:sdtPr>
        <w:sdtEndPr/>
        <w:sdtContent>
          <w:r w:rsidRPr="007061E6">
            <w:rPr>
              <w:rFonts w:asciiTheme="majorHAnsi" w:eastAsia="Calibri" w:hAnsiTheme="majorHAnsi" w:cs="Calibri"/>
            </w:rPr>
            <w:t>’opportuna</w:t>
          </w:r>
        </w:sdtContent>
      </w:sdt>
      <w:sdt>
        <w:sdtPr>
          <w:rPr>
            <w:rFonts w:asciiTheme="majorHAnsi" w:hAnsiTheme="majorHAnsi"/>
          </w:rPr>
          <w:tag w:val="goog_rdk_15"/>
          <w:id w:val="1368413697"/>
          <w:showingPlcHdr/>
        </w:sdtPr>
        <w:sdtEndPr/>
        <w:sdtContent>
          <w:r w:rsidR="00505389" w:rsidRPr="007061E6">
            <w:rPr>
              <w:rFonts w:asciiTheme="majorHAnsi" w:hAnsiTheme="majorHAnsi"/>
            </w:rPr>
            <w:t xml:space="preserve">     </w:t>
          </w:r>
        </w:sdtContent>
      </w:sdt>
      <w:r w:rsidRPr="007061E6">
        <w:rPr>
          <w:rFonts w:asciiTheme="majorHAnsi" w:eastAsia="Calibri" w:hAnsiTheme="majorHAnsi" w:cs="Calibri"/>
        </w:rPr>
        <w:t xml:space="preserve"> quantità di sistemi di accumulo diffusi sul territorio che potranno far fronte alla non programmabilità delle FER</w:t>
      </w:r>
      <w:r w:rsidRPr="007061E6">
        <w:rPr>
          <w:rFonts w:asciiTheme="majorHAnsi" w:eastAsia="Calibri" w:hAnsiTheme="majorHAnsi" w:cs="Calibri"/>
          <w:vertAlign w:val="superscript"/>
        </w:rPr>
        <w:footnoteReference w:id="2"/>
      </w:r>
      <w:r w:rsidRPr="007061E6">
        <w:rPr>
          <w:rFonts w:asciiTheme="majorHAnsi" w:eastAsia="Calibri" w:hAnsiTheme="majorHAnsi" w:cs="Calibri"/>
        </w:rPr>
        <w:t>.  I mezzi elettrici sono l’unico modo per utilizzare in maniera efficiente l’energia proveniente dalle fonti rinnovabili: a oggi il 70% dell’energia elettrica immessa in un veicolo a batteria si trasforma in lavoro utile, un risultato irraggiungibile dalle altre tecnologie di trazione.  Ma i veicoli sono di fatto batterie su ruote, che offrono una grandissima opportunità di accumulo. Per questo è possibile pensare ai veicoli elettrici come fondamentali fornitori di flessibilità alle reti elettriche: lo smart charging (ad</w:t>
      </w:r>
      <w:sdt>
        <w:sdtPr>
          <w:rPr>
            <w:rFonts w:asciiTheme="majorHAnsi" w:hAnsiTheme="majorHAnsi"/>
          </w:rPr>
          <w:tag w:val="goog_rdk_16"/>
          <w:id w:val="-882238748"/>
        </w:sdtPr>
        <w:sdtEndPr/>
        <w:sdtContent>
          <w:r w:rsidRPr="007061E6">
            <w:rPr>
              <w:rFonts w:asciiTheme="majorHAnsi" w:eastAsia="Calibri" w:hAnsiTheme="majorHAnsi" w:cs="Calibri"/>
            </w:rPr>
            <w:t xml:space="preserve"> </w:t>
          </w:r>
        </w:sdtContent>
      </w:sdt>
      <w:r w:rsidRPr="007061E6">
        <w:rPr>
          <w:rFonts w:asciiTheme="majorHAnsi" w:eastAsia="Calibri" w:hAnsiTheme="majorHAnsi" w:cs="Calibri"/>
        </w:rPr>
        <w:t xml:space="preserve">es. ricaricare negli orari consoni a prezzi più bassi o diminuire la potenza di ricarica su richiesta dei gestori di rete), e in futuro il V2G, che consentirà la cessione di energia dai veicoli alla rete, saranno decisivi sia per il bilanciamento, il dispacciamento e la regolazione delle reti di trasmissione e di distribuzione. </w:t>
      </w:r>
      <w:r w:rsidR="004C0100" w:rsidRPr="007061E6">
        <w:rPr>
          <w:rFonts w:asciiTheme="majorHAnsi" w:eastAsia="Calibri" w:hAnsiTheme="majorHAnsi" w:cs="Calibri"/>
        </w:rPr>
        <w:t>Inoltre,</w:t>
      </w:r>
      <w:r w:rsidRPr="007061E6">
        <w:rPr>
          <w:rFonts w:asciiTheme="majorHAnsi" w:eastAsia="Calibri" w:hAnsiTheme="majorHAnsi" w:cs="Calibri"/>
        </w:rPr>
        <w:t xml:space="preserve"> le batterie dei mezzi elettrici contribuiscono ad ottimizzare l’autoconsumo delle comunità energetiche e ne realizzano appieno l’indipendenza.</w:t>
      </w:r>
    </w:p>
    <w:p w14:paraId="7760FAB4" w14:textId="77777777" w:rsidR="009A4F8F" w:rsidRPr="007061E6" w:rsidRDefault="009A4F8F">
      <w:pPr>
        <w:rPr>
          <w:rFonts w:asciiTheme="majorHAnsi" w:eastAsia="Calibri" w:hAnsiTheme="majorHAnsi" w:cs="Calibri"/>
        </w:rPr>
      </w:pPr>
    </w:p>
    <w:p w14:paraId="5E7EBB7B" w14:textId="77777777" w:rsidR="009A4F8F" w:rsidRPr="007061E6" w:rsidRDefault="00614CD8" w:rsidP="00910462">
      <w:pPr>
        <w:pStyle w:val="Titolo2"/>
        <w:rPr>
          <w:rFonts w:asciiTheme="majorHAnsi" w:hAnsiTheme="majorHAnsi"/>
        </w:rPr>
      </w:pPr>
      <w:bookmarkStart w:id="4" w:name="_Toc60993389"/>
      <w:r w:rsidRPr="007061E6">
        <w:rPr>
          <w:rFonts w:asciiTheme="majorHAnsi" w:hAnsiTheme="majorHAnsi"/>
        </w:rPr>
        <w:t>2.2 Riconfigurare le città: i nodi e i layer per ripensare il trasporto di persone e merci</w:t>
      </w:r>
      <w:bookmarkEnd w:id="4"/>
    </w:p>
    <w:p w14:paraId="3EEB53B2" w14:textId="77777777" w:rsidR="009A4F8F" w:rsidRPr="007061E6" w:rsidRDefault="00614CD8" w:rsidP="001F1731">
      <w:pPr>
        <w:jc w:val="both"/>
        <w:rPr>
          <w:rFonts w:asciiTheme="majorHAnsi" w:eastAsia="Calibri" w:hAnsiTheme="majorHAnsi" w:cs="Calibri"/>
        </w:rPr>
      </w:pPr>
      <w:r w:rsidRPr="007061E6">
        <w:rPr>
          <w:rFonts w:asciiTheme="majorHAnsi" w:eastAsia="Calibri" w:hAnsiTheme="majorHAnsi" w:cs="Calibri"/>
        </w:rPr>
        <w:t xml:space="preserve">Nell’ottica di aumentare il benessere dei cittadini sia in termini di qualità dell’aria e di salute, </w:t>
      </w:r>
      <w:sdt>
        <w:sdtPr>
          <w:rPr>
            <w:rFonts w:asciiTheme="majorHAnsi" w:hAnsiTheme="majorHAnsi"/>
          </w:rPr>
          <w:tag w:val="goog_rdk_18"/>
          <w:id w:val="1323006409"/>
        </w:sdtPr>
        <w:sdtEndPr/>
        <w:sdtContent>
          <w:r w:rsidRPr="007061E6">
            <w:rPr>
              <w:rFonts w:asciiTheme="majorHAnsi" w:eastAsia="Calibri" w:hAnsiTheme="majorHAnsi" w:cs="Calibri"/>
            </w:rPr>
            <w:t>che</w:t>
          </w:r>
        </w:sdtContent>
      </w:sdt>
      <w:r w:rsidRPr="007061E6">
        <w:rPr>
          <w:rFonts w:asciiTheme="majorHAnsi" w:eastAsia="Calibri" w:hAnsiTheme="majorHAnsi" w:cs="Calibri"/>
        </w:rPr>
        <w:t xml:space="preserve"> in termini di riappropriazione dello spazio e del  suono delle città, l’elettrificazione della mobilità cittadina si impernia perfettamente nella nuova visione di centro urbano che sta influenzando i decisori di tutto il mondo: garantire sempre più spazio alla mobilità attiva, dolce e condivisa (secondo l’ultimo rapporto ISFORT la superficie delle aree pedonali in Italia - ma non nel mezzogiorno - è in, lenta, crescita dai 37 mq/100 ab. ai 42 del 2018, mentre cresce in tutta Italia la rete di ciclabili), al trasporto pubblico all’interno delle città e all’attivazione di nuovi servizi di trasporto. Questo consentirà un uso più razionale e più a misura d’uomo degli spazi urbani, un miglioramento decisivo della qualità dell’aria e l’abbandono della proprietà dei mezzi che vedranno aumentare il loro fattore di utilizzo radicalmente (oggi per il 95% del </w:t>
      </w:r>
      <w:r w:rsidRPr="007061E6">
        <w:rPr>
          <w:rFonts w:asciiTheme="majorHAnsi" w:eastAsia="Calibri" w:hAnsiTheme="majorHAnsi" w:cs="Calibri"/>
        </w:rPr>
        <w:lastRenderedPageBreak/>
        <w:t>tempo le auto private sono parcheggiate).</w:t>
      </w:r>
      <w:r w:rsidR="001F1731" w:rsidRPr="007061E6">
        <w:rPr>
          <w:rFonts w:asciiTheme="majorHAnsi" w:eastAsia="Calibri" w:hAnsiTheme="majorHAnsi" w:cs="Calibri"/>
        </w:rPr>
        <w:tab/>
      </w:r>
      <w:r w:rsidRPr="007061E6">
        <w:rPr>
          <w:rFonts w:asciiTheme="majorHAnsi" w:eastAsia="Calibri" w:hAnsiTheme="majorHAnsi" w:cs="Calibri"/>
        </w:rPr>
        <w:t xml:space="preserve"> </w:t>
      </w:r>
      <w:r w:rsidRPr="007061E6">
        <w:rPr>
          <w:rFonts w:asciiTheme="majorHAnsi" w:eastAsia="Calibri" w:hAnsiTheme="majorHAnsi" w:cs="Calibri"/>
        </w:rPr>
        <w:br/>
        <w:t xml:space="preserve">Il percorso assodato per realizzare il modello di Smart City che moltissime metropoli perseguono è quello di potenziare le reti cittadine (della distribuzione elettrica, di trasmissione dati, stradali, del trasporto pubblico locale, di ricarica dei veicoli) e renderle interconnesse soprattutto nei loro nodi di sovrapposizione. </w:t>
      </w:r>
      <w:r w:rsidR="004C0100" w:rsidRPr="007061E6">
        <w:rPr>
          <w:rFonts w:asciiTheme="majorHAnsi" w:eastAsia="Calibri" w:hAnsiTheme="majorHAnsi" w:cs="Calibri"/>
        </w:rPr>
        <w:t>Infatti,</w:t>
      </w:r>
      <w:r w:rsidRPr="007061E6">
        <w:rPr>
          <w:rFonts w:asciiTheme="majorHAnsi" w:eastAsia="Calibri" w:hAnsiTheme="majorHAnsi" w:cs="Calibri"/>
        </w:rPr>
        <w:t xml:space="preserve"> l’intermodalità e i nodi di scambio modale sono decisivi sia per l’elettrificazione dei trasporti passeggeri sia per quello merci. In particolare:</w:t>
      </w:r>
    </w:p>
    <w:p w14:paraId="64F6B0B9" w14:textId="77777777" w:rsidR="009A4F8F" w:rsidRPr="007061E6" w:rsidRDefault="00614CD8" w:rsidP="00EC4408">
      <w:pPr>
        <w:numPr>
          <w:ilvl w:val="0"/>
          <w:numId w:val="3"/>
        </w:numPr>
        <w:jc w:val="both"/>
        <w:rPr>
          <w:rFonts w:asciiTheme="majorHAnsi" w:eastAsia="Calibri" w:hAnsiTheme="majorHAnsi" w:cs="Calibri"/>
        </w:rPr>
      </w:pPr>
      <w:r w:rsidRPr="007061E6">
        <w:rPr>
          <w:rFonts w:asciiTheme="majorHAnsi" w:eastAsia="Calibri" w:hAnsiTheme="majorHAnsi" w:cs="Calibri"/>
        </w:rPr>
        <w:t xml:space="preserve">I capolinea dei mezzi pubblici al limitare delle città diventeranno nodi di ricarica per i “commuters”, di fornitura di servizi di mobilità condivisa, nonché di ricarica per il trasporto pubblico su gomma elettrico. </w:t>
      </w:r>
    </w:p>
    <w:p w14:paraId="66E699F9" w14:textId="77777777" w:rsidR="009A4F8F" w:rsidRPr="007061E6" w:rsidRDefault="00614CD8" w:rsidP="00EC4408">
      <w:pPr>
        <w:numPr>
          <w:ilvl w:val="0"/>
          <w:numId w:val="3"/>
        </w:numPr>
        <w:jc w:val="both"/>
        <w:rPr>
          <w:rFonts w:asciiTheme="majorHAnsi" w:eastAsia="Calibri" w:hAnsiTheme="majorHAnsi" w:cs="Calibri"/>
        </w:rPr>
      </w:pPr>
      <w:r w:rsidRPr="007061E6">
        <w:rPr>
          <w:rFonts w:asciiTheme="majorHAnsi" w:eastAsia="Calibri" w:hAnsiTheme="majorHAnsi" w:cs="Calibri"/>
        </w:rPr>
        <w:t>Le stazioni ferroviarie, già elettrificate, realizzano l’ideale interscambio modale con trasporto pubblico, taxi, car e bike sharing e mobilità dolce. I nodi di interscambio logistici sono fondamentali per l’elettrificazione del trasporto merci urbano, fenomeno in forte crescita nelle nostre città. In una seconda fase gli stessi nodi elettrificati ad alta potenza forniranno servizi di ricarica anche ai veicoli di logistica di lungo raggio.</w:t>
      </w:r>
    </w:p>
    <w:p w14:paraId="37ADCD75" w14:textId="77777777" w:rsidR="009A4F8F" w:rsidRPr="007061E6" w:rsidRDefault="00614CD8" w:rsidP="00EC4408">
      <w:pPr>
        <w:numPr>
          <w:ilvl w:val="0"/>
          <w:numId w:val="3"/>
        </w:numPr>
        <w:jc w:val="both"/>
        <w:rPr>
          <w:rFonts w:asciiTheme="majorHAnsi" w:eastAsia="Calibri" w:hAnsiTheme="majorHAnsi" w:cs="Calibri"/>
        </w:rPr>
      </w:pPr>
      <w:r w:rsidRPr="007061E6">
        <w:rPr>
          <w:rFonts w:asciiTheme="majorHAnsi" w:eastAsia="Calibri" w:hAnsiTheme="majorHAnsi" w:cs="Calibri"/>
        </w:rPr>
        <w:t xml:space="preserve">I nodi commerciali e culturali, che offriranno l’opportunità di ricaricare i veicoli passeggeri, anche con velocità in funzione del tempo di sosta dei fruitori. I rimessaggi, cioè sia i parcheggi auto sia i magazzini per lo stazionamento notturno di furgoni e camion, diventeranno dei nodi di ricarica importanti ma anche dei nodi di flessibilità per la rete elettrica nel momento in cui molti mezzi </w:t>
      </w:r>
      <w:sdt>
        <w:sdtPr>
          <w:rPr>
            <w:rFonts w:asciiTheme="majorHAnsi" w:hAnsiTheme="majorHAnsi"/>
          </w:rPr>
          <w:tag w:val="goog_rdk_22"/>
          <w:id w:val="-459032747"/>
          <w:showingPlcHdr/>
        </w:sdtPr>
        <w:sdtEndPr/>
        <w:sdtContent>
          <w:r w:rsidR="00505389" w:rsidRPr="007061E6">
            <w:rPr>
              <w:rFonts w:asciiTheme="majorHAnsi" w:hAnsiTheme="majorHAnsi"/>
            </w:rPr>
            <w:t xml:space="preserve">     </w:t>
          </w:r>
        </w:sdtContent>
      </w:sdt>
      <w:r w:rsidRPr="007061E6">
        <w:rPr>
          <w:rFonts w:asciiTheme="majorHAnsi" w:eastAsia="Calibri" w:hAnsiTheme="majorHAnsi" w:cs="Calibri"/>
        </w:rPr>
        <w:t>caricheranno contemporaneamente ma saranno capaci di modulare la propria richiesta in potenza.</w:t>
      </w:r>
    </w:p>
    <w:p w14:paraId="21AFDFD7" w14:textId="77777777" w:rsidR="009A4F8F" w:rsidRDefault="00614CD8" w:rsidP="00EC4408">
      <w:pPr>
        <w:numPr>
          <w:ilvl w:val="0"/>
          <w:numId w:val="3"/>
        </w:numPr>
        <w:jc w:val="both"/>
        <w:rPr>
          <w:rFonts w:asciiTheme="majorHAnsi" w:eastAsia="Calibri" w:hAnsiTheme="majorHAnsi" w:cs="Calibri"/>
        </w:rPr>
      </w:pPr>
      <w:r w:rsidRPr="007061E6">
        <w:rPr>
          <w:rFonts w:asciiTheme="majorHAnsi" w:eastAsia="Calibri" w:hAnsiTheme="majorHAnsi" w:cs="Calibri"/>
        </w:rPr>
        <w:t xml:space="preserve">I porti (che hanno ampi spazi per la produzione da FV) non solo potranno fornire energia elettrica alle navi ferme attraverso il cosiddetto cold-ironing, evitando così di mantenere accesi i motori inquinanti delle navi per l’alimentazione degli ausiliari, ma l’elettrificazione delle loro banchine potrà rappresentare un’importante opportunità di elettrificazione per le imbarcazioni da diporto, per i traghetti Ro-Ro e per cargo di piccola taglia nei prossimi 10 anni.  </w:t>
      </w:r>
    </w:p>
    <w:p w14:paraId="732B08E1" w14:textId="77777777" w:rsidR="004C0100" w:rsidRPr="007061E6" w:rsidRDefault="004C0100" w:rsidP="004C0100">
      <w:pPr>
        <w:ind w:left="720"/>
        <w:jc w:val="both"/>
        <w:rPr>
          <w:rFonts w:asciiTheme="majorHAnsi" w:eastAsia="Calibri" w:hAnsiTheme="majorHAnsi" w:cs="Calibri"/>
        </w:rPr>
      </w:pPr>
    </w:p>
    <w:p w14:paraId="55008E68" w14:textId="77777777" w:rsidR="009A4F8F" w:rsidRPr="007061E6" w:rsidRDefault="00614CD8" w:rsidP="00910462">
      <w:pPr>
        <w:jc w:val="both"/>
        <w:rPr>
          <w:rFonts w:asciiTheme="majorHAnsi" w:eastAsia="Calibri" w:hAnsiTheme="majorHAnsi" w:cs="Calibri"/>
        </w:rPr>
      </w:pPr>
      <w:r w:rsidRPr="007061E6">
        <w:rPr>
          <w:rFonts w:asciiTheme="majorHAnsi" w:eastAsia="Calibri" w:hAnsiTheme="majorHAnsi" w:cs="Calibri"/>
        </w:rPr>
        <w:t>Le città diventeranno così delle grandi reti sia di scambio dati fra mezzi e infrastrutture, sia di produzione di energia sia di ricarica dei veicoli che la percorreranno e che si scambieranno fra i suoi nodi, mentre i cittadini vedranno aumentare lo spazio vivibile e in comune e diminuire drasticamente l’inquinamento atmosferico e acustico, superando i paradigmi di un rifornimento nei soli distributori di carburante, legato ai veicoli ICE e della necessità di un veicolo proprio.</w:t>
      </w:r>
    </w:p>
    <w:p w14:paraId="11641090" w14:textId="77777777" w:rsidR="009A4F8F" w:rsidRPr="007061E6" w:rsidRDefault="00614CD8" w:rsidP="00910462">
      <w:pPr>
        <w:pStyle w:val="Titolo2"/>
        <w:rPr>
          <w:rFonts w:asciiTheme="majorHAnsi" w:hAnsiTheme="majorHAnsi"/>
        </w:rPr>
      </w:pPr>
      <w:bookmarkStart w:id="5" w:name="_Toc60993390"/>
      <w:r w:rsidRPr="007061E6">
        <w:rPr>
          <w:rFonts w:asciiTheme="majorHAnsi" w:hAnsiTheme="majorHAnsi"/>
        </w:rPr>
        <w:t>2.3 La pubblica amministrazione e i suoi concessionari come guida per il cambiamento e opportunità di sviluppo locale.</w:t>
      </w:r>
      <w:bookmarkEnd w:id="5"/>
    </w:p>
    <w:p w14:paraId="46DC238D" w14:textId="77777777" w:rsidR="009A4F8F" w:rsidRPr="007061E6" w:rsidRDefault="00614CD8" w:rsidP="00145450">
      <w:pPr>
        <w:jc w:val="both"/>
        <w:rPr>
          <w:rFonts w:asciiTheme="majorHAnsi" w:eastAsia="Calibri" w:hAnsiTheme="majorHAnsi" w:cs="Calibri"/>
        </w:rPr>
      </w:pPr>
      <w:r w:rsidRPr="007061E6">
        <w:rPr>
          <w:rFonts w:asciiTheme="majorHAnsi" w:eastAsia="Calibri" w:hAnsiTheme="majorHAnsi" w:cs="Calibri"/>
        </w:rPr>
        <w:t xml:space="preserve">La PA, oltre che essere primo consumatore di energia in Italia, ha spazi per installare impianti rinnovabili e ha flotte che si possono elettrificare. Parliamo di un numero di mezzi intorno alle 50.000 unità, in buona parte obsoleti ed inquinanti. È questa una grande opportunità per essere volano ed esempio per una mobilità veramente sostenibile, anche attraverso infrastrutture dedicate e </w:t>
      </w:r>
      <w:sdt>
        <w:sdtPr>
          <w:rPr>
            <w:rFonts w:asciiTheme="majorHAnsi" w:hAnsiTheme="majorHAnsi"/>
          </w:rPr>
          <w:tag w:val="goog_rdk_23"/>
          <w:id w:val="-1436203313"/>
        </w:sdtPr>
        <w:sdtEndPr/>
        <w:sdtContent>
          <w:r w:rsidRPr="007061E6">
            <w:rPr>
              <w:rFonts w:asciiTheme="majorHAnsi" w:eastAsia="Calibri" w:hAnsiTheme="majorHAnsi" w:cs="Calibri"/>
            </w:rPr>
            <w:t>a</w:t>
          </w:r>
        </w:sdtContent>
      </w:sdt>
      <w:r w:rsidRPr="007061E6">
        <w:rPr>
          <w:rFonts w:asciiTheme="majorHAnsi" w:eastAsia="Calibri" w:hAnsiTheme="majorHAnsi" w:cs="Calibri"/>
        </w:rPr>
        <w:t>ree da mettere a disposizione per ricariche pubbliche.</w:t>
      </w:r>
    </w:p>
    <w:p w14:paraId="064CBDC1" w14:textId="77777777" w:rsidR="009A4F8F" w:rsidRPr="007061E6" w:rsidRDefault="00614CD8" w:rsidP="00145450">
      <w:pPr>
        <w:jc w:val="both"/>
        <w:rPr>
          <w:rFonts w:asciiTheme="majorHAnsi" w:eastAsia="Calibri" w:hAnsiTheme="majorHAnsi" w:cs="Calibri"/>
        </w:rPr>
      </w:pPr>
      <w:r w:rsidRPr="007061E6">
        <w:rPr>
          <w:rFonts w:asciiTheme="majorHAnsi" w:eastAsia="Calibri" w:hAnsiTheme="majorHAnsi" w:cs="Calibri"/>
        </w:rPr>
        <w:lastRenderedPageBreak/>
        <w:t xml:space="preserve">Un finanziamento diretto di tale transizione è perfettamente aderente agli ambiti politici di Next Generation EU, potendone peraltro garantire gli adeguati strumenti di misurazione dell’attuazione. </w:t>
      </w:r>
    </w:p>
    <w:p w14:paraId="49184D4F" w14:textId="77777777" w:rsidR="009A4F8F" w:rsidRPr="007061E6" w:rsidRDefault="004C0100" w:rsidP="00145450">
      <w:pPr>
        <w:jc w:val="both"/>
        <w:rPr>
          <w:rFonts w:asciiTheme="majorHAnsi" w:eastAsia="Calibri" w:hAnsiTheme="majorHAnsi" w:cs="Calibri"/>
        </w:rPr>
      </w:pPr>
      <w:r w:rsidRPr="007061E6">
        <w:rPr>
          <w:rFonts w:asciiTheme="majorHAnsi" w:eastAsia="Calibri" w:hAnsiTheme="majorHAnsi" w:cs="Calibri"/>
        </w:rPr>
        <w:t>Inoltre,</w:t>
      </w:r>
      <w:r w:rsidR="00614CD8" w:rsidRPr="007061E6">
        <w:rPr>
          <w:rFonts w:asciiTheme="majorHAnsi" w:eastAsia="Calibri" w:hAnsiTheme="majorHAnsi" w:cs="Calibri"/>
        </w:rPr>
        <w:t xml:space="preserve"> la PA ha l’importante compito di guidare le sue concessionarie e le aziende di sua proprietà verso la mobilità sostenibile</w:t>
      </w:r>
      <w:sdt>
        <w:sdtPr>
          <w:rPr>
            <w:rFonts w:asciiTheme="majorHAnsi" w:hAnsiTheme="majorHAnsi"/>
          </w:rPr>
          <w:tag w:val="goog_rdk_24"/>
          <w:id w:val="-809863190"/>
        </w:sdtPr>
        <w:sdtEndPr/>
        <w:sdtContent>
          <w:r w:rsidR="00614CD8" w:rsidRPr="007061E6">
            <w:rPr>
              <w:rFonts w:asciiTheme="majorHAnsi" w:eastAsia="Calibri" w:hAnsiTheme="majorHAnsi" w:cs="Calibri"/>
            </w:rPr>
            <w:t>.</w:t>
          </w:r>
        </w:sdtContent>
      </w:sdt>
    </w:p>
    <w:p w14:paraId="445AB261" w14:textId="77777777" w:rsidR="009A4F8F" w:rsidRPr="007061E6" w:rsidRDefault="00614CD8" w:rsidP="00145450">
      <w:pPr>
        <w:jc w:val="both"/>
        <w:rPr>
          <w:rFonts w:asciiTheme="majorHAnsi" w:eastAsia="Calibri" w:hAnsiTheme="majorHAnsi" w:cs="Calibri"/>
        </w:rPr>
      </w:pPr>
      <w:r w:rsidRPr="007061E6">
        <w:rPr>
          <w:rFonts w:asciiTheme="majorHAnsi" w:eastAsia="Calibri" w:hAnsiTheme="majorHAnsi" w:cs="Calibri"/>
        </w:rPr>
        <w:t>Essenziale sarà il supporto alla elettrificazione del Trasporto Pubblico Locale, attraverso un rafforzamento dell’attuale Piano Strategico MIT, riservando quote esclusive ai bus a zero emissioni specialmente in ambito urbano. Questi ultimi sono da considerarsi anche economicamente vantaggiosi considerando gli in</w:t>
      </w:r>
      <w:sdt>
        <w:sdtPr>
          <w:rPr>
            <w:rFonts w:asciiTheme="majorHAnsi" w:hAnsiTheme="majorHAnsi"/>
          </w:rPr>
          <w:tag w:val="goog_rdk_25"/>
          <w:id w:val="-1478678224"/>
        </w:sdtPr>
        <w:sdtEndPr/>
        <w:sdtContent>
          <w:r w:rsidRPr="007061E6">
            <w:rPr>
              <w:rFonts w:asciiTheme="majorHAnsi" w:eastAsia="Calibri" w:hAnsiTheme="majorHAnsi" w:cs="Calibri"/>
            </w:rPr>
            <w:t>ve</w:t>
          </w:r>
        </w:sdtContent>
      </w:sdt>
      <w:r w:rsidRPr="007061E6">
        <w:rPr>
          <w:rFonts w:asciiTheme="majorHAnsi" w:eastAsia="Calibri" w:hAnsiTheme="majorHAnsi" w:cs="Calibri"/>
        </w:rPr>
        <w:t xml:space="preserve">stimenti a vita intera, continuare ad inserirli normativamente con altre trazioni “alternative” che presentano costo iniziale inferiore dà solo vantaggi a queste ultime, considerando la propensione delle P.A. a privilegiare, erroneamente, il solo costo iniziale. </w:t>
      </w:r>
    </w:p>
    <w:p w14:paraId="667A158B" w14:textId="77777777" w:rsidR="009A4F8F" w:rsidRPr="007061E6" w:rsidRDefault="00614CD8" w:rsidP="00910462">
      <w:pPr>
        <w:pStyle w:val="Titolo2"/>
        <w:rPr>
          <w:rFonts w:asciiTheme="majorHAnsi" w:hAnsiTheme="majorHAnsi"/>
        </w:rPr>
      </w:pPr>
      <w:bookmarkStart w:id="6" w:name="_heading=h.3dy6vkm" w:colFirst="0" w:colLast="0"/>
      <w:bookmarkStart w:id="7" w:name="_Toc60993391"/>
      <w:bookmarkEnd w:id="6"/>
      <w:r w:rsidRPr="007061E6">
        <w:rPr>
          <w:rFonts w:asciiTheme="majorHAnsi" w:hAnsiTheme="majorHAnsi"/>
        </w:rPr>
        <w:t>2.4 L’industria italiana: una transizione decisiva.</w:t>
      </w:r>
      <w:bookmarkEnd w:id="7"/>
    </w:p>
    <w:p w14:paraId="74995B52" w14:textId="77777777" w:rsidR="009A4F8F" w:rsidRPr="007061E6" w:rsidRDefault="00614CD8" w:rsidP="00145450">
      <w:pPr>
        <w:jc w:val="both"/>
        <w:rPr>
          <w:rFonts w:asciiTheme="majorHAnsi" w:eastAsia="Calibri" w:hAnsiTheme="majorHAnsi" w:cs="Calibri"/>
        </w:rPr>
      </w:pPr>
      <w:r w:rsidRPr="007061E6">
        <w:rPr>
          <w:rFonts w:asciiTheme="majorHAnsi" w:eastAsia="Calibri" w:hAnsiTheme="majorHAnsi" w:cs="Calibri"/>
        </w:rPr>
        <w:t>Se ci limitiamo all’industria automotive italiana è da evidenziare che attualmente il 70% dei componenti prodotti sono esportati verso Costruttori esteri. Se questi ultimi (come sta avvenendo anche all’industria nazionale) si elettrificano, anche la nostra industria di componentistica deve effettuare la transizione verso l’elettrico. Dare il via a questa transizione è drammaticamente urgente e deve accompagnare la riconversione di parte dell’ecosistema sia attraverso l’innovazione di prodotto, sia di crescita dimensionale, sia infine di acquisizione di competenze.</w:t>
      </w:r>
      <w:r w:rsidR="00145450" w:rsidRPr="007061E6">
        <w:rPr>
          <w:rFonts w:asciiTheme="majorHAnsi" w:eastAsia="Calibri" w:hAnsiTheme="majorHAnsi" w:cs="Calibri"/>
        </w:rPr>
        <w:tab/>
      </w:r>
      <w:r w:rsidRPr="007061E6">
        <w:rPr>
          <w:rFonts w:asciiTheme="majorHAnsi" w:eastAsia="Calibri" w:hAnsiTheme="majorHAnsi" w:cs="Calibri"/>
        </w:rPr>
        <w:br/>
        <w:t xml:space="preserve">In Italia tanti Tier 2 e Tier 3, se sapranno affrontare la transizione, saranno impattati meno negativamente dei Tier 1, che rappresentano meno il nostro ecosistema, dalle scelte di </w:t>
      </w:r>
      <w:r w:rsidRPr="007061E6">
        <w:rPr>
          <w:rFonts w:asciiTheme="majorHAnsi" w:eastAsia="Calibri" w:hAnsiTheme="majorHAnsi" w:cs="Calibri"/>
          <w:i/>
        </w:rPr>
        <w:t xml:space="preserve">make </w:t>
      </w:r>
      <w:r w:rsidRPr="007061E6">
        <w:rPr>
          <w:rFonts w:asciiTheme="majorHAnsi" w:eastAsia="Calibri" w:hAnsiTheme="majorHAnsi" w:cs="Calibri"/>
        </w:rPr>
        <w:t xml:space="preserve">più che </w:t>
      </w:r>
      <w:r w:rsidRPr="007061E6">
        <w:rPr>
          <w:rFonts w:asciiTheme="majorHAnsi" w:eastAsia="Calibri" w:hAnsiTheme="majorHAnsi" w:cs="Calibri"/>
          <w:i/>
        </w:rPr>
        <w:t xml:space="preserve">buy </w:t>
      </w:r>
      <w:r w:rsidRPr="007061E6">
        <w:rPr>
          <w:rFonts w:asciiTheme="majorHAnsi" w:eastAsia="Calibri" w:hAnsiTheme="majorHAnsi" w:cs="Calibri"/>
        </w:rPr>
        <w:t>sulle quali gli OEM stanno orientando i propri piani industriali sui veicoli elettrici. Permane però il problema della dimensione contenuta della gran parte delle imprese e la mancanza di liquidità per investimenti.</w:t>
      </w:r>
    </w:p>
    <w:p w14:paraId="3A515339" w14:textId="77777777" w:rsidR="009A4F8F" w:rsidRPr="007061E6" w:rsidRDefault="00614CD8">
      <w:pPr>
        <w:rPr>
          <w:rFonts w:asciiTheme="majorHAnsi" w:eastAsia="Calibri" w:hAnsiTheme="majorHAnsi" w:cs="Calibri"/>
        </w:rPr>
      </w:pPr>
      <w:r w:rsidRPr="007061E6">
        <w:rPr>
          <w:rFonts w:asciiTheme="majorHAnsi" w:eastAsia="Calibri" w:hAnsiTheme="majorHAnsi" w:cs="Calibri"/>
        </w:rPr>
        <w:t>Guardando invece all’intero ecosistema:</w:t>
      </w:r>
    </w:p>
    <w:p w14:paraId="5CF2840D"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Le fabbriche di auto italiane stanno lavorando a pieno ritmo proprio sui veicoli elettrici, per far fronte ad una richiesta in crescita esponenziale.</w:t>
      </w:r>
    </w:p>
    <w:p w14:paraId="5EC0D876"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 xml:space="preserve">Abbiamo un ricco ecosistema sia di componenti elettrici sia di elettronica di potenza. </w:t>
      </w:r>
    </w:p>
    <w:p w14:paraId="273D1CBB" w14:textId="77777777" w:rsidR="009A4F8F" w:rsidRPr="007061E6" w:rsidRDefault="004C0100" w:rsidP="00145450">
      <w:pPr>
        <w:numPr>
          <w:ilvl w:val="0"/>
          <w:numId w:val="2"/>
        </w:numPr>
        <w:jc w:val="both"/>
        <w:rPr>
          <w:rFonts w:asciiTheme="majorHAnsi" w:hAnsiTheme="majorHAnsi"/>
          <w:i/>
        </w:rPr>
      </w:pPr>
      <w:r w:rsidRPr="007061E6">
        <w:rPr>
          <w:rFonts w:asciiTheme="majorHAnsi" w:eastAsia="Calibri" w:hAnsiTheme="majorHAnsi" w:cs="Calibri"/>
        </w:rPr>
        <w:t>Inoltre,</w:t>
      </w:r>
      <w:r w:rsidR="00614CD8" w:rsidRPr="007061E6">
        <w:rPr>
          <w:rFonts w:asciiTheme="majorHAnsi" w:eastAsia="Calibri" w:hAnsiTheme="majorHAnsi" w:cs="Calibri"/>
        </w:rPr>
        <w:t xml:space="preserve"> vantiamo già esperienza di alcuni poli sulla progettazione e l’ingegnerizzazione dei prodotti, </w:t>
      </w:r>
    </w:p>
    <w:p w14:paraId="6E84010E"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 xml:space="preserve">soprattutto abbiamo imprese importanti nella fabbricazione di macchinari per la produzione industriali proprio dei componenti e che già forniscono soluzioni produttive all’industria della mobilità elettrica. </w:t>
      </w:r>
    </w:p>
    <w:p w14:paraId="59296F18" w14:textId="77777777" w:rsidR="009A4F8F" w:rsidRDefault="00614CD8" w:rsidP="00145450">
      <w:pPr>
        <w:numPr>
          <w:ilvl w:val="0"/>
          <w:numId w:val="2"/>
        </w:numPr>
        <w:jc w:val="both"/>
        <w:rPr>
          <w:rFonts w:asciiTheme="majorHAnsi" w:eastAsia="Calibri" w:hAnsiTheme="majorHAnsi" w:cs="Calibri"/>
        </w:rPr>
      </w:pPr>
      <w:r w:rsidRPr="007061E6">
        <w:rPr>
          <w:rFonts w:asciiTheme="majorHAnsi" w:eastAsia="Calibri" w:hAnsiTheme="majorHAnsi" w:cs="Calibri"/>
        </w:rPr>
        <w:t>Abbiamo importanti competenze sul testing dei prodotti e sulla certificazione dei componenti elettrici</w:t>
      </w:r>
      <w:r w:rsidR="004C0100">
        <w:rPr>
          <w:rFonts w:asciiTheme="majorHAnsi" w:eastAsia="Calibri" w:hAnsiTheme="majorHAnsi" w:cs="Calibri"/>
        </w:rPr>
        <w:t>.</w:t>
      </w:r>
    </w:p>
    <w:p w14:paraId="2597D30C" w14:textId="77777777" w:rsidR="004C0100" w:rsidRPr="007061E6" w:rsidRDefault="004C0100" w:rsidP="004C0100">
      <w:pPr>
        <w:ind w:left="720"/>
        <w:jc w:val="both"/>
        <w:rPr>
          <w:rFonts w:asciiTheme="majorHAnsi" w:eastAsia="Calibri" w:hAnsiTheme="majorHAnsi" w:cs="Calibri"/>
        </w:rPr>
      </w:pPr>
    </w:p>
    <w:p w14:paraId="4C883958" w14:textId="77777777" w:rsidR="009A4F8F" w:rsidRPr="007061E6" w:rsidRDefault="00614CD8" w:rsidP="00145450">
      <w:pPr>
        <w:jc w:val="both"/>
        <w:rPr>
          <w:rFonts w:asciiTheme="majorHAnsi" w:eastAsia="Calibri" w:hAnsiTheme="majorHAnsi" w:cs="Calibri"/>
        </w:rPr>
      </w:pPr>
      <w:r w:rsidRPr="007061E6">
        <w:rPr>
          <w:rFonts w:asciiTheme="majorHAnsi" w:eastAsia="Calibri" w:hAnsiTheme="majorHAnsi" w:cs="Calibri"/>
        </w:rPr>
        <w:t>I nuovi prodotti e lo spazio per le nostre imprese:</w:t>
      </w:r>
    </w:p>
    <w:p w14:paraId="210CB179"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 xml:space="preserve">Se da una parte siamo ancora indietro nella corsa alla produzione di celle per autotrazione sul territorio nazionale, gli sviluppi di mercato non solo consentono spazio di produzione delle celle diffuse oggi (ad esempio NMC 811) ma forniscono un’occasione irripetibile per il nostro sistema R&amp;D per la produzione di nuove chimiche, coinvolgendo anche il comparto </w:t>
      </w:r>
      <w:r w:rsidR="004C0100">
        <w:rPr>
          <w:rFonts w:asciiTheme="majorHAnsi" w:eastAsia="Calibri" w:hAnsiTheme="majorHAnsi" w:cs="Calibri"/>
        </w:rPr>
        <w:t>c</w:t>
      </w:r>
      <w:r w:rsidRPr="007061E6">
        <w:rPr>
          <w:rFonts w:asciiTheme="majorHAnsi" w:eastAsia="Calibri" w:hAnsiTheme="majorHAnsi" w:cs="Calibri"/>
        </w:rPr>
        <w:t xml:space="preserve">himico italiano ancora </w:t>
      </w:r>
      <w:r w:rsidRPr="007061E6">
        <w:rPr>
          <w:rFonts w:asciiTheme="majorHAnsi" w:eastAsia="Calibri" w:hAnsiTheme="majorHAnsi" w:cs="Calibri"/>
        </w:rPr>
        <w:lastRenderedPageBreak/>
        <w:t xml:space="preserve">di ottimo livello (es. Sugli elettroliti gel o solidi o sui nuovi catodi senza cobalto o sugli anodi al grafene). </w:t>
      </w:r>
    </w:p>
    <w:p w14:paraId="7F0133E3"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Abbiamo già un buon ecosistema di produzione di infrastrutture di ricarica su suolo italiano e che può ancora crescere.</w:t>
      </w:r>
      <w:sdt>
        <w:sdtPr>
          <w:rPr>
            <w:rFonts w:asciiTheme="majorHAnsi" w:hAnsiTheme="majorHAnsi"/>
          </w:rPr>
          <w:tag w:val="goog_rdk_29"/>
          <w:id w:val="743144524"/>
          <w:showingPlcHdr/>
        </w:sdtPr>
        <w:sdtEndPr/>
        <w:sdtContent>
          <w:r w:rsidR="00505389" w:rsidRPr="007061E6">
            <w:rPr>
              <w:rFonts w:asciiTheme="majorHAnsi" w:hAnsiTheme="majorHAnsi"/>
            </w:rPr>
            <w:t xml:space="preserve">     </w:t>
          </w:r>
        </w:sdtContent>
      </w:sdt>
    </w:p>
    <w:p w14:paraId="6C308FDC"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È forte l’industria di componentistica sulla distribuzione interna e i pompaggi dei motori a combustione interna, si deve accompagnare alla riconversione per la produzione di nuovi sistemi ausiliari dei sistemi di trazione, soprattutto del pacco batterie, integrati con quelli per l’abitacolo.</w:t>
      </w:r>
    </w:p>
    <w:p w14:paraId="1E0BE9A1" w14:textId="77777777" w:rsidR="009A4F8F" w:rsidRPr="007061E6" w:rsidRDefault="00145450" w:rsidP="00145450">
      <w:pPr>
        <w:numPr>
          <w:ilvl w:val="0"/>
          <w:numId w:val="2"/>
        </w:numPr>
        <w:jc w:val="both"/>
        <w:rPr>
          <w:rFonts w:asciiTheme="majorHAnsi" w:hAnsiTheme="majorHAnsi"/>
        </w:rPr>
      </w:pPr>
      <w:r w:rsidRPr="007061E6">
        <w:rPr>
          <w:rFonts w:asciiTheme="majorHAnsi" w:eastAsia="Calibri" w:hAnsiTheme="majorHAnsi" w:cs="Calibri"/>
        </w:rPr>
        <w:t>Significative sono</w:t>
      </w:r>
      <w:r w:rsidR="00614CD8" w:rsidRPr="007061E6">
        <w:rPr>
          <w:rFonts w:asciiTheme="majorHAnsi" w:eastAsia="Calibri" w:hAnsiTheme="majorHAnsi" w:cs="Calibri"/>
        </w:rPr>
        <w:t xml:space="preserve"> le competenze delle nostre imprese sull’economia circolare: la Battery </w:t>
      </w:r>
      <w:r w:rsidR="00794926" w:rsidRPr="007061E6">
        <w:rPr>
          <w:rFonts w:asciiTheme="majorHAnsi" w:eastAsia="Calibri" w:hAnsiTheme="majorHAnsi" w:cs="Calibri"/>
        </w:rPr>
        <w:t>D</w:t>
      </w:r>
      <w:r w:rsidR="00614CD8" w:rsidRPr="007061E6">
        <w:rPr>
          <w:rFonts w:asciiTheme="majorHAnsi" w:eastAsia="Calibri" w:hAnsiTheme="majorHAnsi" w:cs="Calibri"/>
        </w:rPr>
        <w:t>irective della UE pone obiettivi sfidanti di riuso e riciclo e l’Italia avrebbe le capacità e le risorse per sfruttare questa opportunità.</w:t>
      </w:r>
    </w:p>
    <w:p w14:paraId="4A0E7EF5" w14:textId="77777777" w:rsidR="009A4F8F" w:rsidRPr="007061E6" w:rsidRDefault="00614CD8" w:rsidP="00145450">
      <w:pPr>
        <w:numPr>
          <w:ilvl w:val="0"/>
          <w:numId w:val="2"/>
        </w:numPr>
        <w:jc w:val="both"/>
        <w:rPr>
          <w:rFonts w:asciiTheme="majorHAnsi" w:eastAsia="Calibri" w:hAnsiTheme="majorHAnsi" w:cs="Calibri"/>
        </w:rPr>
      </w:pPr>
      <w:r w:rsidRPr="007061E6">
        <w:rPr>
          <w:rFonts w:asciiTheme="majorHAnsi" w:eastAsia="Calibri" w:hAnsiTheme="majorHAnsi" w:cs="Calibri"/>
        </w:rPr>
        <w:t>Il testing dei powertrain e delle altre componenti del veicolo saranno sempre più centrali non solo in fase di sviluppo e ingegnerizzazione, ma anche nella fase di certificazione che sempre più sarà necessaria per raggiungere degli standard minimi di prodotto (specie sui pacchi batterie) sia in f</w:t>
      </w:r>
      <w:r w:rsidR="004C0100">
        <w:rPr>
          <w:rFonts w:asciiTheme="majorHAnsi" w:eastAsia="Calibri" w:hAnsiTheme="majorHAnsi" w:cs="Calibri"/>
        </w:rPr>
        <w:t>a</w:t>
      </w:r>
      <w:r w:rsidRPr="007061E6">
        <w:rPr>
          <w:rFonts w:asciiTheme="majorHAnsi" w:eastAsia="Calibri" w:hAnsiTheme="majorHAnsi" w:cs="Calibri"/>
        </w:rPr>
        <w:t>se operativa sia di riuso e riciclo.</w:t>
      </w:r>
    </w:p>
    <w:p w14:paraId="2929630F" w14:textId="77777777" w:rsidR="009A4F8F" w:rsidRPr="007061E6" w:rsidRDefault="00614CD8" w:rsidP="00145450">
      <w:pPr>
        <w:numPr>
          <w:ilvl w:val="0"/>
          <w:numId w:val="2"/>
        </w:numPr>
        <w:jc w:val="both"/>
        <w:rPr>
          <w:rFonts w:asciiTheme="majorHAnsi" w:hAnsiTheme="majorHAnsi"/>
          <w:i/>
        </w:rPr>
      </w:pPr>
      <w:r w:rsidRPr="007061E6">
        <w:rPr>
          <w:rFonts w:asciiTheme="majorHAnsi" w:eastAsia="Calibri" w:hAnsiTheme="majorHAnsi" w:cs="Calibri"/>
        </w:rPr>
        <w:t>L’auto elettrica è nativa digitale:</w:t>
      </w:r>
      <w:r w:rsidR="00145450" w:rsidRPr="007061E6">
        <w:rPr>
          <w:rFonts w:asciiTheme="majorHAnsi" w:eastAsia="Calibri" w:hAnsiTheme="majorHAnsi" w:cs="Calibri"/>
        </w:rPr>
        <w:tab/>
      </w:r>
      <w:r w:rsidRPr="007061E6">
        <w:rPr>
          <w:rFonts w:asciiTheme="majorHAnsi" w:eastAsia="Calibri" w:hAnsiTheme="majorHAnsi" w:cs="Calibri"/>
        </w:rPr>
        <w:br/>
        <w:t>Lo sviluppo SW dei veicoli sarà un campo decisivo di azione sia per i costruttori ma anche per i componentisti che potranno lavorare su piattaforme aperte per offrire nuovi servizi che oggi fatichiamo anche a concepire. In questo senso i veicoli elettrici sono delle vere e proprie piattaforme digitali che rappresentano un’opportunità unica: pacchetti SW per il miglioramento delle prestazioni, manutenzioni predittive e da remoto, integrazione dei SW auto con le app MaaS, Machine learning per la guida autonoma.</w:t>
      </w:r>
    </w:p>
    <w:p w14:paraId="33C9F910" w14:textId="77777777" w:rsidR="009A4F8F" w:rsidRPr="007061E6" w:rsidRDefault="009A4F8F">
      <w:pPr>
        <w:rPr>
          <w:rFonts w:asciiTheme="majorHAnsi" w:hAnsiTheme="majorHAnsi"/>
          <w:i/>
        </w:rPr>
      </w:pPr>
    </w:p>
    <w:p w14:paraId="6664A0A5" w14:textId="77777777" w:rsidR="009A4F8F" w:rsidRPr="007061E6" w:rsidRDefault="00614CD8" w:rsidP="00145450">
      <w:pPr>
        <w:jc w:val="both"/>
        <w:rPr>
          <w:rFonts w:asciiTheme="majorHAnsi" w:eastAsia="Calibri" w:hAnsiTheme="majorHAnsi" w:cs="Calibri"/>
        </w:rPr>
      </w:pPr>
      <w:r w:rsidRPr="007061E6">
        <w:rPr>
          <w:rFonts w:asciiTheme="majorHAnsi" w:eastAsia="Calibri" w:hAnsiTheme="majorHAnsi" w:cs="Calibri"/>
        </w:rPr>
        <w:t xml:space="preserve">L’Italia ha perciò il dovere e l’urgenza di cogliere l’opportunità di organizzare e orientare le sue competenze accademiche e industriali, che esistono e sono di ottimo livello, coordinando il mondo della ricerca, quello del design e dell’ingegneria di prodotto, le industrie (automotive, della componentistica elettrica ed elettronica, le eccellenze della chimica e dello sviluppo SW), le utility e le aziende di trasporto, per “fare sistema” e favorire la creazione di filiere volte allo sviluppo e alla produzione di veicoli elettrici made in Italy e non solo assemblati nel nostro paese. Il prezzo da pagare per l’inazione è altissimo: è a rischio l’enorme contributo al PIL e alla tenuta industriale del paese (100 miliardi di fatturato della filiera industriale automotive che, incluso l’indotto, coinvolge 258.000 lavoratori con un fattore moltiplicativo dei lavoratori pari a 3) nonché agli investimenti in ambito industriale (3,9 miliardi di euro l’anno) che dovrebbero essere orientati dalla politica industriale nazionale proprio verso la produzione di componenti e SW dei mezzi elettrici.   </w:t>
      </w:r>
      <w:r w:rsidRPr="007061E6">
        <w:rPr>
          <w:rFonts w:asciiTheme="majorHAnsi" w:hAnsiTheme="majorHAnsi"/>
        </w:rPr>
        <w:br w:type="page"/>
      </w:r>
    </w:p>
    <w:p w14:paraId="3D73BEDF" w14:textId="77777777" w:rsidR="009A4F8F" w:rsidRPr="007061E6" w:rsidRDefault="00910462" w:rsidP="00910462">
      <w:pPr>
        <w:pStyle w:val="Titolo1"/>
        <w:rPr>
          <w:rFonts w:asciiTheme="majorHAnsi" w:hAnsiTheme="majorHAnsi"/>
        </w:rPr>
      </w:pPr>
      <w:bookmarkStart w:id="8" w:name="_Toc60993392"/>
      <w:r w:rsidRPr="007061E6">
        <w:rPr>
          <w:rFonts w:asciiTheme="majorHAnsi" w:hAnsiTheme="majorHAnsi"/>
        </w:rPr>
        <w:lastRenderedPageBreak/>
        <w:t xml:space="preserve">3. </w:t>
      </w:r>
      <w:r w:rsidR="00614CD8" w:rsidRPr="007061E6">
        <w:rPr>
          <w:rFonts w:asciiTheme="majorHAnsi" w:hAnsiTheme="majorHAnsi"/>
        </w:rPr>
        <w:t>PIANO NAZIONALE DI RIPRESA E RILANCIO: PROGETTI E RIFORME SULLA MOBILITA’ ELETTRICA</w:t>
      </w:r>
      <w:bookmarkEnd w:id="8"/>
    </w:p>
    <w:p w14:paraId="1C6E3E31" w14:textId="77777777" w:rsidR="009A4F8F" w:rsidRPr="007061E6" w:rsidRDefault="009A4F8F">
      <w:pPr>
        <w:rPr>
          <w:rFonts w:asciiTheme="majorHAnsi" w:hAnsiTheme="majorHAnsi"/>
        </w:rPr>
      </w:pPr>
    </w:p>
    <w:p w14:paraId="4C5494B9" w14:textId="77777777" w:rsidR="009A4F8F" w:rsidRPr="007061E6" w:rsidRDefault="00614CD8" w:rsidP="00145450">
      <w:pPr>
        <w:spacing w:after="160" w:line="259" w:lineRule="auto"/>
        <w:jc w:val="both"/>
        <w:rPr>
          <w:rFonts w:asciiTheme="majorHAnsi" w:eastAsia="Calibri" w:hAnsiTheme="majorHAnsi" w:cs="Calibri"/>
        </w:rPr>
      </w:pPr>
      <w:bookmarkStart w:id="9" w:name="_heading=h.63bxn685gmpt" w:colFirst="0" w:colLast="0"/>
      <w:bookmarkEnd w:id="9"/>
      <w:r w:rsidRPr="007061E6">
        <w:rPr>
          <w:rFonts w:asciiTheme="majorHAnsi" w:eastAsia="Calibri" w:hAnsiTheme="majorHAnsi" w:cs="Calibri"/>
        </w:rPr>
        <w:t>È da premettere che tutti gli interventi, anche quelli incentivanti, hanno lo scopo di liberare risorse private, comportano interventi diffusi e distribuiti sul territorio, coinvolgono imprese italiane e locali ma, soprattutto, sono indirizzate alla sostenibilità ambientale sia in termini di decarbonizzazione sia di qualità dell’aria.</w:t>
      </w:r>
    </w:p>
    <w:p w14:paraId="63DA5C84" w14:textId="77777777" w:rsidR="009A4F8F" w:rsidRPr="007061E6" w:rsidRDefault="00614CD8" w:rsidP="00145450">
      <w:pPr>
        <w:spacing w:after="160" w:line="259" w:lineRule="auto"/>
        <w:jc w:val="both"/>
        <w:rPr>
          <w:rFonts w:asciiTheme="majorHAnsi" w:eastAsia="Calibri" w:hAnsiTheme="majorHAnsi" w:cs="Calibri"/>
        </w:rPr>
      </w:pPr>
      <w:bookmarkStart w:id="10" w:name="_heading=h.1wzn78gm362m" w:colFirst="0" w:colLast="0"/>
      <w:bookmarkEnd w:id="10"/>
      <w:r w:rsidRPr="007061E6">
        <w:rPr>
          <w:rFonts w:asciiTheme="majorHAnsi" w:eastAsia="Calibri" w:hAnsiTheme="majorHAnsi" w:cs="Calibri"/>
        </w:rPr>
        <w:t xml:space="preserve">Le note che seguono dettagliano da un lato le necessarie riforme e i target che a livello nazionale ci dovremmo porre per accompagnare dall’altro gli investimenti che dovrebbero essere previsti per realizzare la visione strategica che descriviamo nel presente documento. Gli investimenti e i progetti sono stati classificate seguendo le tre direttrici individuate dal MISE nel </w:t>
      </w:r>
      <w:r w:rsidR="002D3464">
        <w:rPr>
          <w:rFonts w:asciiTheme="majorHAnsi" w:eastAsia="Calibri" w:hAnsiTheme="majorHAnsi" w:cs="Calibri"/>
        </w:rPr>
        <w:t>“</w:t>
      </w:r>
      <w:r w:rsidRPr="007061E6">
        <w:rPr>
          <w:rFonts w:asciiTheme="majorHAnsi" w:eastAsia="Calibri" w:hAnsiTheme="majorHAnsi" w:cs="Calibri"/>
        </w:rPr>
        <w:t>Tavolo Automotive</w:t>
      </w:r>
      <w:r w:rsidR="002D3464">
        <w:rPr>
          <w:rFonts w:asciiTheme="majorHAnsi" w:eastAsia="Calibri" w:hAnsiTheme="majorHAnsi" w:cs="Calibri"/>
        </w:rPr>
        <w:t>”</w:t>
      </w:r>
      <w:r w:rsidRPr="007061E6">
        <w:rPr>
          <w:rFonts w:asciiTheme="majorHAnsi" w:eastAsia="Calibri" w:hAnsiTheme="majorHAnsi" w:cs="Calibri"/>
        </w:rPr>
        <w:t xml:space="preserve"> lanciato all’inizio del 2020: </w:t>
      </w:r>
      <w:r w:rsidR="00F1381C">
        <w:rPr>
          <w:rFonts w:asciiTheme="majorHAnsi" w:eastAsia="Calibri" w:hAnsiTheme="majorHAnsi" w:cs="Calibri"/>
        </w:rPr>
        <w:t>Domanda, Infrastrutture di ricarica e Offerta</w:t>
      </w:r>
      <w:r w:rsidRPr="007061E6">
        <w:rPr>
          <w:rFonts w:asciiTheme="majorHAnsi" w:eastAsia="Calibri" w:hAnsiTheme="majorHAnsi" w:cs="Calibri"/>
        </w:rPr>
        <w:t>.</w:t>
      </w:r>
    </w:p>
    <w:p w14:paraId="4B1C0F97" w14:textId="77777777" w:rsidR="009A4F8F" w:rsidRPr="007061E6" w:rsidRDefault="00614CD8" w:rsidP="00910462">
      <w:pPr>
        <w:pStyle w:val="Titolo2"/>
        <w:rPr>
          <w:rFonts w:asciiTheme="majorHAnsi" w:hAnsiTheme="majorHAnsi"/>
        </w:rPr>
      </w:pPr>
      <w:bookmarkStart w:id="11" w:name="_Toc60993393"/>
      <w:r w:rsidRPr="007061E6">
        <w:rPr>
          <w:rFonts w:asciiTheme="majorHAnsi" w:hAnsiTheme="majorHAnsi"/>
        </w:rPr>
        <w:t>3.1 Riforme e misure che non necessitano di investimenti</w:t>
      </w:r>
      <w:bookmarkEnd w:id="11"/>
    </w:p>
    <w:p w14:paraId="0E8EF351" w14:textId="77777777" w:rsidR="009A4F8F" w:rsidRPr="007061E6" w:rsidRDefault="00614CD8" w:rsidP="00145450">
      <w:pPr>
        <w:spacing w:after="160" w:line="259" w:lineRule="auto"/>
        <w:jc w:val="both"/>
        <w:rPr>
          <w:rFonts w:asciiTheme="majorHAnsi" w:eastAsia="Calibri" w:hAnsiTheme="majorHAnsi" w:cs="Calibri"/>
        </w:rPr>
      </w:pPr>
      <w:r w:rsidRPr="007061E6">
        <w:rPr>
          <w:rFonts w:asciiTheme="majorHAnsi" w:hAnsiTheme="majorHAnsi"/>
        </w:rPr>
        <w:t>Il</w:t>
      </w:r>
      <w:r w:rsidRPr="007061E6">
        <w:rPr>
          <w:rFonts w:asciiTheme="majorHAnsi" w:eastAsia="Calibri" w:hAnsiTheme="majorHAnsi" w:cs="Calibri"/>
        </w:rPr>
        <w:t xml:space="preserve"> senso degli incentivi è di indirizzare il comportamento di consumo e di utilizzo dei mezzi da parte dei cittadini, è fondamentale parallelamente dare certezze a produttori e consumatori sui disincentivi alla circolazione dei mezzi inquinanti, per permettere all’industria di pianificare gli investimenti e non creare perdite di valore inaspettate dei mezzi acquistati. Lo Stato e gli enti locali allora hanno l’importante compito innanzitutto di </w:t>
      </w:r>
      <w:r w:rsidRPr="007061E6">
        <w:rPr>
          <w:rFonts w:asciiTheme="majorHAnsi" w:eastAsia="Calibri" w:hAnsiTheme="majorHAnsi" w:cs="Calibri"/>
          <w:b/>
        </w:rPr>
        <w:t>uniformare in una roadmap nazionale i divieti di circolazione dei mezzi</w:t>
      </w:r>
      <w:sdt>
        <w:sdtPr>
          <w:rPr>
            <w:rFonts w:asciiTheme="majorHAnsi" w:hAnsiTheme="majorHAnsi"/>
          </w:rPr>
          <w:tag w:val="goog_rdk_30"/>
          <w:id w:val="-1180044202"/>
        </w:sdtPr>
        <w:sdtEndPr/>
        <w:sdtContent>
          <w:r w:rsidRPr="007061E6">
            <w:rPr>
              <w:rFonts w:asciiTheme="majorHAnsi" w:eastAsia="Calibri" w:hAnsiTheme="majorHAnsi" w:cs="Calibri"/>
              <w:b/>
            </w:rPr>
            <w:t xml:space="preserve"> </w:t>
          </w:r>
        </w:sdtContent>
      </w:sdt>
      <w:r w:rsidRPr="007061E6">
        <w:rPr>
          <w:rFonts w:asciiTheme="majorHAnsi" w:eastAsia="Calibri" w:hAnsiTheme="majorHAnsi" w:cs="Calibri"/>
          <w:b/>
        </w:rPr>
        <w:t>a combustione interna nelle città</w:t>
      </w:r>
      <w:r w:rsidRPr="007061E6">
        <w:rPr>
          <w:rFonts w:asciiTheme="majorHAnsi" w:eastAsia="Calibri" w:hAnsiTheme="majorHAnsi" w:cs="Calibri"/>
        </w:rPr>
        <w:t>, partendo dai veicoli più vecchi e inquinanti e progressivamente riducendo il limite massimo di emissioni, soprattutto di inquinanti locali (nanoparticelle, NOx, PM10, PM 2,5, ecc</w:t>
      </w:r>
      <w:r w:rsidR="002D3464">
        <w:rPr>
          <w:rFonts w:asciiTheme="majorHAnsi" w:eastAsia="Calibri" w:hAnsiTheme="majorHAnsi" w:cs="Calibri"/>
        </w:rPr>
        <w:t>.</w:t>
      </w:r>
      <w:r w:rsidRPr="007061E6">
        <w:rPr>
          <w:rFonts w:asciiTheme="majorHAnsi" w:eastAsia="Calibri" w:hAnsiTheme="majorHAnsi" w:cs="Calibri"/>
        </w:rPr>
        <w:t>)</w:t>
      </w:r>
      <w:sdt>
        <w:sdtPr>
          <w:rPr>
            <w:rFonts w:asciiTheme="majorHAnsi" w:hAnsiTheme="majorHAnsi"/>
          </w:rPr>
          <w:tag w:val="goog_rdk_32"/>
          <w:id w:val="-454554004"/>
        </w:sdtPr>
        <w:sdtEndPr/>
        <w:sdtContent>
          <w:r w:rsidRPr="007061E6">
            <w:rPr>
              <w:rFonts w:asciiTheme="majorHAnsi" w:eastAsia="Calibri" w:hAnsiTheme="majorHAnsi" w:cs="Calibri"/>
            </w:rPr>
            <w:t>.</w:t>
          </w:r>
        </w:sdtContent>
      </w:sdt>
      <w:r w:rsidRPr="007061E6">
        <w:rPr>
          <w:rFonts w:asciiTheme="majorHAnsi" w:eastAsia="Calibri" w:hAnsiTheme="majorHAnsi" w:cs="Calibri"/>
        </w:rPr>
        <w:t xml:space="preserve"> In secondo luogo a livello nazionale, come già annunciato o deciso da numerosi Stati, da poco annunciato da California e Gran Bretagna (2035 e 2030 rispettivamente),</w:t>
      </w:r>
      <w:r w:rsidRPr="007061E6">
        <w:rPr>
          <w:rFonts w:asciiTheme="majorHAnsi" w:eastAsia="Calibri" w:hAnsiTheme="majorHAnsi" w:cs="Calibri"/>
          <w:b/>
        </w:rPr>
        <w:t xml:space="preserve"> si dovrebbe stabilire una data in cui si termini la vendita dei veicoli endotermici nel </w:t>
      </w:r>
      <w:sdt>
        <w:sdtPr>
          <w:rPr>
            <w:rFonts w:asciiTheme="majorHAnsi" w:hAnsiTheme="majorHAnsi"/>
          </w:rPr>
          <w:tag w:val="goog_rdk_33"/>
          <w:id w:val="-2040957832"/>
        </w:sdtPr>
        <w:sdtEndPr/>
        <w:sdtContent>
          <w:r w:rsidRPr="007061E6">
            <w:rPr>
              <w:rFonts w:asciiTheme="majorHAnsi" w:eastAsia="Calibri" w:hAnsiTheme="majorHAnsi" w:cs="Calibri"/>
              <w:b/>
            </w:rPr>
            <w:t>P</w:t>
          </w:r>
        </w:sdtContent>
      </w:sdt>
      <w:r w:rsidRPr="007061E6">
        <w:rPr>
          <w:rFonts w:asciiTheme="majorHAnsi" w:eastAsia="Calibri" w:hAnsiTheme="majorHAnsi" w:cs="Calibri"/>
          <w:b/>
        </w:rPr>
        <w:t>aese</w:t>
      </w:r>
      <w:r w:rsidRPr="007061E6">
        <w:rPr>
          <w:rFonts w:asciiTheme="majorHAnsi" w:eastAsia="Calibri" w:hAnsiTheme="majorHAnsi" w:cs="Calibri"/>
        </w:rPr>
        <w:t xml:space="preserve">; maggiore sarà la rapidità con cui si sancisce questo termine, più facile sarà per le industrie pianificare gli investimenti di riconversione e per imprese e cittadini decidere quali mezzi acquistare. Questa discussione sul </w:t>
      </w:r>
      <w:r w:rsidRPr="002D3464">
        <w:rPr>
          <w:rFonts w:asciiTheme="majorHAnsi" w:eastAsia="Calibri" w:hAnsiTheme="majorHAnsi" w:cs="Calibri"/>
          <w:b/>
          <w:bCs/>
          <w:iCs/>
        </w:rPr>
        <w:t>phase</w:t>
      </w:r>
      <w:r w:rsidR="002D3464" w:rsidRPr="002D3464">
        <w:rPr>
          <w:rFonts w:asciiTheme="majorHAnsi" w:eastAsia="Calibri" w:hAnsiTheme="majorHAnsi" w:cs="Calibri"/>
          <w:b/>
          <w:bCs/>
          <w:iCs/>
        </w:rPr>
        <w:t>-</w:t>
      </w:r>
      <w:r w:rsidRPr="002D3464">
        <w:rPr>
          <w:rFonts w:asciiTheme="majorHAnsi" w:eastAsia="Calibri" w:hAnsiTheme="majorHAnsi" w:cs="Calibri"/>
          <w:b/>
          <w:bCs/>
          <w:iCs/>
        </w:rPr>
        <w:t>out</w:t>
      </w:r>
      <w:r w:rsidRPr="007061E6">
        <w:rPr>
          <w:rFonts w:asciiTheme="majorHAnsi" w:eastAsia="Calibri" w:hAnsiTheme="majorHAnsi" w:cs="Calibri"/>
        </w:rPr>
        <w:t xml:space="preserve"> dalle auto a combustione interna si lega a doppio filo alla necessità di un piano</w:t>
      </w:r>
      <w:r w:rsidR="00505389" w:rsidRPr="007061E6">
        <w:rPr>
          <w:rFonts w:asciiTheme="majorHAnsi" w:eastAsia="Calibri" w:hAnsiTheme="majorHAnsi" w:cs="Calibri"/>
        </w:rPr>
        <w:t xml:space="preserve"> di cancellazione</w:t>
      </w:r>
      <w:r w:rsidR="00505389" w:rsidRPr="007061E6">
        <w:rPr>
          <w:rFonts w:asciiTheme="majorHAnsi" w:hAnsiTheme="majorHAnsi"/>
        </w:rPr>
        <w:t xml:space="preserve"> </w:t>
      </w:r>
      <w:r w:rsidRPr="007061E6">
        <w:rPr>
          <w:rFonts w:asciiTheme="majorHAnsi" w:eastAsia="Calibri" w:hAnsiTheme="majorHAnsi" w:cs="Calibri"/>
        </w:rPr>
        <w:t xml:space="preserve">dei </w:t>
      </w:r>
      <w:r w:rsidR="002D3464" w:rsidRPr="002D3464">
        <w:rPr>
          <w:rFonts w:asciiTheme="majorHAnsi" w:eastAsia="Calibri" w:hAnsiTheme="majorHAnsi" w:cs="Calibri"/>
          <w:b/>
        </w:rPr>
        <w:t>S</w:t>
      </w:r>
      <w:r w:rsidRPr="007061E6">
        <w:rPr>
          <w:rFonts w:asciiTheme="majorHAnsi" w:eastAsia="Calibri" w:hAnsiTheme="majorHAnsi" w:cs="Calibri"/>
          <w:b/>
        </w:rPr>
        <w:t xml:space="preserve">ussidi </w:t>
      </w:r>
      <w:r w:rsidR="002D3464">
        <w:rPr>
          <w:rFonts w:asciiTheme="majorHAnsi" w:eastAsia="Calibri" w:hAnsiTheme="majorHAnsi" w:cs="Calibri"/>
          <w:b/>
        </w:rPr>
        <w:t>A</w:t>
      </w:r>
      <w:r w:rsidRPr="007061E6">
        <w:rPr>
          <w:rFonts w:asciiTheme="majorHAnsi" w:eastAsia="Calibri" w:hAnsiTheme="majorHAnsi" w:cs="Calibri"/>
          <w:b/>
        </w:rPr>
        <w:t>mbientalmente Dannosi</w:t>
      </w:r>
      <w:r w:rsidRPr="007061E6">
        <w:rPr>
          <w:rFonts w:asciiTheme="majorHAnsi" w:eastAsia="Calibri" w:hAnsiTheme="majorHAnsi" w:cs="Calibri"/>
        </w:rPr>
        <w:t xml:space="preserve">, soprattutto quelli legati ai combustibili fossili: il piano a zero sussidi dovrà essere chiaro, non modificabile, graduale e dovrà assolutamente aiutare le categorie impattate dalla cancellazione dei SAD a rendere più sostenibile le proprie attività, senza sperare che queste risorse finiscano ad alimentare altri capitoli di spesa statale. Risulta per altro sorprendente che l’attuale tassazione, estremamente più bassa della media europea, del gas nei trasporti non venga minimamente presa in considerazione nell’analisi dei sussidi. </w:t>
      </w:r>
    </w:p>
    <w:p w14:paraId="1D192DA4" w14:textId="77777777" w:rsidR="009A4F8F" w:rsidRPr="007061E6" w:rsidRDefault="00614CD8" w:rsidP="00145450">
      <w:pPr>
        <w:spacing w:after="160" w:line="259" w:lineRule="auto"/>
        <w:jc w:val="both"/>
        <w:rPr>
          <w:rFonts w:asciiTheme="majorHAnsi" w:eastAsia="Calibri" w:hAnsiTheme="majorHAnsi" w:cs="Calibri"/>
        </w:rPr>
      </w:pPr>
      <w:r w:rsidRPr="007061E6">
        <w:rPr>
          <w:rFonts w:asciiTheme="majorHAnsi" w:eastAsia="Calibri" w:hAnsiTheme="majorHAnsi" w:cs="Calibri"/>
        </w:rPr>
        <w:t>Altro intervento importante dovrebbe portare a una rimodulazione della</w:t>
      </w:r>
      <w:r w:rsidRPr="007061E6">
        <w:rPr>
          <w:rFonts w:asciiTheme="majorHAnsi" w:eastAsia="Calibri" w:hAnsiTheme="majorHAnsi" w:cs="Calibri"/>
          <w:b/>
        </w:rPr>
        <w:t xml:space="preserve"> tassa di circolazione</w:t>
      </w:r>
      <w:r w:rsidRPr="007061E6">
        <w:rPr>
          <w:rFonts w:asciiTheme="majorHAnsi" w:eastAsia="Calibri" w:hAnsiTheme="majorHAnsi" w:cs="Calibri"/>
        </w:rPr>
        <w:t xml:space="preserve"> (il cosiddetto bollo) al fine di disincentivare la circolazione di veicoli inquinanti con una progressiva crescita anno per anno del valore della tassa sui veicoli endotermici, in special modo quelli più vecchi.</w:t>
      </w:r>
    </w:p>
    <w:p w14:paraId="69F89D6E" w14:textId="77777777" w:rsidR="009A4F8F" w:rsidRPr="007061E6" w:rsidRDefault="00614CD8" w:rsidP="00145450">
      <w:pPr>
        <w:spacing w:after="160" w:line="259" w:lineRule="auto"/>
        <w:jc w:val="both"/>
        <w:rPr>
          <w:rFonts w:asciiTheme="majorHAnsi" w:eastAsia="Calibri" w:hAnsiTheme="majorHAnsi" w:cs="Calibri"/>
        </w:rPr>
      </w:pPr>
      <w:r w:rsidRPr="007061E6">
        <w:rPr>
          <w:rFonts w:asciiTheme="majorHAnsi" w:eastAsia="Calibri" w:hAnsiTheme="majorHAnsi" w:cs="Calibri"/>
        </w:rPr>
        <w:t xml:space="preserve">Dal punto di vista delle </w:t>
      </w:r>
      <w:r w:rsidRPr="007061E6">
        <w:rPr>
          <w:rFonts w:asciiTheme="majorHAnsi" w:eastAsia="Calibri" w:hAnsiTheme="majorHAnsi" w:cs="Calibri"/>
          <w:b/>
        </w:rPr>
        <w:t xml:space="preserve">tariffe </w:t>
      </w:r>
      <w:r w:rsidRPr="007061E6">
        <w:rPr>
          <w:rFonts w:asciiTheme="majorHAnsi" w:eastAsia="Calibri" w:hAnsiTheme="majorHAnsi" w:cs="Calibri"/>
        </w:rPr>
        <w:t xml:space="preserve">dell’energia alla base dei servizi di ricarica in ambito pubblico suggeriamo che in una prima fase si attui quanto previsto dalla Legge Semplificazione del 2020, riducendo la tariffa sui </w:t>
      </w:r>
      <w:r w:rsidRPr="007061E6">
        <w:rPr>
          <w:rFonts w:asciiTheme="majorHAnsi" w:eastAsia="Calibri" w:hAnsiTheme="majorHAnsi" w:cs="Calibri"/>
        </w:rPr>
        <w:lastRenderedPageBreak/>
        <w:t>servizi di ricarica pubblica (BTVE). Sarebbe inoltre importante, anche al fine di rendere competitiva l’elettricità al pari delle basse accise sul gas, inserire gli operatori TPL all’interno dei soggetti che accedono al trattamento energivori. In ultimo si dovrebbe equiparare il trattamento tariffario dei residenti che connettono la propria auto a un nuovo contatore rispetto a coloro che possono connettersi al proprio contatore domestico.</w:t>
      </w:r>
    </w:p>
    <w:p w14:paraId="01BC6F4A" w14:textId="77777777" w:rsidR="009A4F8F" w:rsidRPr="007061E6" w:rsidRDefault="00614CD8" w:rsidP="00145450">
      <w:pPr>
        <w:spacing w:after="160" w:line="259" w:lineRule="auto"/>
        <w:jc w:val="both"/>
        <w:rPr>
          <w:rFonts w:asciiTheme="majorHAnsi" w:eastAsia="Calibri" w:hAnsiTheme="majorHAnsi" w:cs="Calibri"/>
        </w:rPr>
      </w:pPr>
      <w:r w:rsidRPr="007061E6">
        <w:rPr>
          <w:rFonts w:asciiTheme="majorHAnsi" w:eastAsia="Calibri" w:hAnsiTheme="majorHAnsi" w:cs="Calibri"/>
        </w:rPr>
        <w:t xml:space="preserve">In ultimo, nella logica di recepimento della RED II e di raggiungimento degli sfidanti </w:t>
      </w:r>
      <w:r w:rsidRPr="007061E6">
        <w:rPr>
          <w:rFonts w:asciiTheme="majorHAnsi" w:eastAsia="Calibri" w:hAnsiTheme="majorHAnsi" w:cs="Calibri"/>
          <w:b/>
        </w:rPr>
        <w:t>target di energia da fonti rinnovabili nei trasporti</w:t>
      </w:r>
      <w:r w:rsidRPr="007061E6">
        <w:rPr>
          <w:rFonts w:asciiTheme="majorHAnsi" w:eastAsia="Calibri" w:hAnsiTheme="majorHAnsi" w:cs="Calibri"/>
        </w:rPr>
        <w:t xml:space="preserve">, diventa fondamentale inserire l’elettricità da fonti rinnovabili nel </w:t>
      </w:r>
      <w:r w:rsidRPr="007061E6">
        <w:rPr>
          <w:rFonts w:asciiTheme="majorHAnsi" w:eastAsia="Calibri" w:hAnsiTheme="majorHAnsi" w:cs="Calibri"/>
          <w:i/>
        </w:rPr>
        <w:t xml:space="preserve">quota system </w:t>
      </w:r>
      <w:r w:rsidRPr="007061E6">
        <w:rPr>
          <w:rFonts w:asciiTheme="majorHAnsi" w:eastAsia="Calibri" w:hAnsiTheme="majorHAnsi" w:cs="Calibri"/>
        </w:rPr>
        <w:t xml:space="preserve">di generazione dei crediti di immissione al consumo, al fine di aumentare la domanda di elettricità da FER nonché aiutare i soggetti obbligati (come i distributori di carburanti) a soddisfare i propri obblighi anche attraverso l’installazione di infrastrutture di ricarica per veicoli elettrici.   </w:t>
      </w:r>
    </w:p>
    <w:p w14:paraId="350613B2" w14:textId="77777777" w:rsidR="009A4F8F" w:rsidRPr="007061E6" w:rsidRDefault="00614CD8" w:rsidP="004C625E">
      <w:pPr>
        <w:pStyle w:val="Titolo2"/>
        <w:spacing w:after="0"/>
        <w:rPr>
          <w:rFonts w:asciiTheme="majorHAnsi" w:hAnsiTheme="majorHAnsi"/>
        </w:rPr>
      </w:pPr>
      <w:bookmarkStart w:id="12" w:name="_Toc60993394"/>
      <w:r w:rsidRPr="007061E6">
        <w:rPr>
          <w:rFonts w:asciiTheme="majorHAnsi" w:hAnsiTheme="majorHAnsi"/>
        </w:rPr>
        <w:t>3.2 Investimenti</w:t>
      </w:r>
      <w:bookmarkEnd w:id="12"/>
      <w:r w:rsidRPr="007061E6">
        <w:rPr>
          <w:rFonts w:asciiTheme="majorHAnsi" w:hAnsiTheme="majorHAnsi"/>
        </w:rPr>
        <w:t xml:space="preserve"> </w:t>
      </w:r>
    </w:p>
    <w:p w14:paraId="452E54C7" w14:textId="77777777" w:rsidR="009A4F8F" w:rsidRPr="007061E6" w:rsidRDefault="00614CD8" w:rsidP="004C625E">
      <w:pPr>
        <w:pStyle w:val="Titolo3"/>
        <w:spacing w:before="0"/>
        <w:rPr>
          <w:rFonts w:asciiTheme="majorHAnsi" w:hAnsiTheme="majorHAnsi"/>
        </w:rPr>
      </w:pPr>
      <w:bookmarkStart w:id="13" w:name="_Toc60993395"/>
      <w:r w:rsidRPr="007061E6">
        <w:rPr>
          <w:rFonts w:asciiTheme="majorHAnsi" w:hAnsiTheme="majorHAnsi"/>
        </w:rPr>
        <w:t>Domanda</w:t>
      </w:r>
      <w:bookmarkEnd w:id="13"/>
    </w:p>
    <w:p w14:paraId="1D774138" w14:textId="77777777" w:rsidR="009A4F8F" w:rsidRPr="007061E6" w:rsidRDefault="00614CD8">
      <w:pPr>
        <w:spacing w:after="160" w:line="259" w:lineRule="auto"/>
        <w:jc w:val="both"/>
        <w:rPr>
          <w:rFonts w:asciiTheme="majorHAnsi" w:hAnsiTheme="majorHAnsi"/>
          <w:b/>
        </w:rPr>
      </w:pPr>
      <w:r w:rsidRPr="007061E6">
        <w:rPr>
          <w:rFonts w:asciiTheme="majorHAnsi" w:hAnsiTheme="majorHAnsi"/>
          <w:b/>
        </w:rPr>
        <w:t>Priorità D.1: Ecobonus 2022-2025</w:t>
      </w:r>
    </w:p>
    <w:p w14:paraId="030DBC8B" w14:textId="4AFEF931" w:rsidR="009A4F8F" w:rsidRPr="007061E6" w:rsidRDefault="00614CD8">
      <w:pPr>
        <w:spacing w:after="160" w:line="259" w:lineRule="auto"/>
        <w:jc w:val="both"/>
        <w:rPr>
          <w:rFonts w:asciiTheme="majorHAnsi" w:eastAsia="Calibri" w:hAnsiTheme="majorHAnsi" w:cs="Calibri"/>
        </w:rPr>
      </w:pPr>
      <w:r w:rsidRPr="007061E6">
        <w:rPr>
          <w:rFonts w:asciiTheme="majorHAnsi" w:eastAsia="Calibri" w:hAnsiTheme="majorHAnsi" w:cs="Calibri"/>
        </w:rPr>
        <w:t xml:space="preserve">Il mercato dei mezzi elettrici sta crescendo, soprattutto in ambito M1 (32.000 veicoli elettrici puri e 27.000 ibridi plug-in nel solo 2020). </w:t>
      </w:r>
      <w:r w:rsidR="00954039" w:rsidRPr="007061E6">
        <w:rPr>
          <w:rFonts w:asciiTheme="majorHAnsi" w:eastAsia="Calibri" w:hAnsiTheme="majorHAnsi" w:cs="Calibri"/>
        </w:rPr>
        <w:t>Tuttavia,</w:t>
      </w:r>
      <w:r w:rsidRPr="007061E6">
        <w:rPr>
          <w:rFonts w:asciiTheme="majorHAnsi" w:eastAsia="Calibri" w:hAnsiTheme="majorHAnsi" w:cs="Calibri"/>
        </w:rPr>
        <w:t xml:space="preserve"> la maturità della tecnologia si avrà davvero al raggiungimento di quote di mercato dei mezzi a batteria (BEV) oltre il 15% (oggi i BEV sono al 2,3% rispetto all’immatricolato totale). Per tale ragione è centrale che la domanda di veicoli M, N ed L a zero e basse emissioni (sotto i 60 gCO2/km) venga sostenuta e che, in ottica di continuità e certezza degli strumenti, si mantenga la struttura attualmente prevista per l’ecobonus, prorogandone la validità sino al 2025 e mantenendo la forma dell’incentivo diretto all’acquisto. </w:t>
      </w:r>
      <w:r w:rsidR="00954039" w:rsidRPr="007061E6">
        <w:rPr>
          <w:rFonts w:asciiTheme="majorHAnsi" w:eastAsia="Calibri" w:hAnsiTheme="majorHAnsi" w:cs="Calibri"/>
        </w:rPr>
        <w:t>Tuttavia,</w:t>
      </w:r>
      <w:r w:rsidRPr="007061E6">
        <w:rPr>
          <w:rFonts w:asciiTheme="majorHAnsi" w:eastAsia="Calibri" w:hAnsiTheme="majorHAnsi" w:cs="Calibri"/>
        </w:rPr>
        <w:t xml:space="preserve"> le quote di mercato crescenti consentono di prevedere una riduzione progressiva dell’incentivo unitario,</w:t>
      </w:r>
      <w:r w:rsidR="005443BE">
        <w:rPr>
          <w:rFonts w:asciiTheme="majorHAnsi" w:eastAsia="Calibri" w:hAnsiTheme="majorHAnsi" w:cs="Calibri"/>
        </w:rPr>
        <w:t xml:space="preserve"> a partire dal 2023,</w:t>
      </w:r>
      <w:r w:rsidRPr="007061E6">
        <w:rPr>
          <w:rFonts w:asciiTheme="majorHAnsi" w:eastAsia="Calibri" w:hAnsiTheme="majorHAnsi" w:cs="Calibri"/>
        </w:rPr>
        <w:t xml:space="preserve"> che accompagni la riduzione del prezzo di acqui</w:t>
      </w:r>
      <w:r w:rsidR="005443BE">
        <w:rPr>
          <w:rFonts w:asciiTheme="majorHAnsi" w:eastAsia="Calibri" w:hAnsiTheme="majorHAnsi" w:cs="Calibri"/>
        </w:rPr>
        <w:t>sto, e noleggio, dei mezzi BEV</w:t>
      </w:r>
      <w:r w:rsidRPr="007061E6">
        <w:rPr>
          <w:rFonts w:asciiTheme="majorHAnsi" w:eastAsia="Calibri" w:hAnsiTheme="majorHAnsi" w:cs="Calibri"/>
        </w:rPr>
        <w:t xml:space="preserve">. Tale intervento, sintetizzato nella misura D1 della Tabella Allegata, </w:t>
      </w:r>
      <w:r w:rsidR="004C625E" w:rsidRPr="007061E6">
        <w:rPr>
          <w:rFonts w:asciiTheme="majorHAnsi" w:eastAsia="Calibri" w:hAnsiTheme="majorHAnsi" w:cs="Calibri"/>
        </w:rPr>
        <w:t>è assolutamente prioritario</w:t>
      </w:r>
      <w:r w:rsidRPr="007061E6">
        <w:rPr>
          <w:rFonts w:asciiTheme="majorHAnsi" w:eastAsia="Calibri" w:hAnsiTheme="majorHAnsi" w:cs="Calibri"/>
        </w:rPr>
        <w:t xml:space="preserve"> per dare certezze alle case auto e continuità al mer</w:t>
      </w:r>
      <w:r w:rsidR="005443BE">
        <w:rPr>
          <w:rFonts w:asciiTheme="majorHAnsi" w:eastAsia="Calibri" w:hAnsiTheme="majorHAnsi" w:cs="Calibri"/>
        </w:rPr>
        <w:t>cato. La spesa prevista è di 3,50</w:t>
      </w:r>
      <w:r w:rsidRPr="007061E6">
        <w:rPr>
          <w:rFonts w:asciiTheme="majorHAnsi" w:eastAsia="Calibri" w:hAnsiTheme="majorHAnsi" w:cs="Calibri"/>
        </w:rPr>
        <w:t xml:space="preserve"> miliardi di euro nel quadriennio 2022-2025 a fronte di più di 1 milione di veicoli agevolati, con una importante compensazione dell’investimento con un gettito IVA medio superiore alle auto endotermiche.  </w:t>
      </w:r>
    </w:p>
    <w:p w14:paraId="4106C0A4" w14:textId="77777777" w:rsidR="009A4F8F" w:rsidRPr="007061E6" w:rsidRDefault="009A4F8F">
      <w:pPr>
        <w:spacing w:after="160" w:line="259" w:lineRule="auto"/>
        <w:jc w:val="both"/>
        <w:rPr>
          <w:rFonts w:asciiTheme="majorHAnsi" w:hAnsiTheme="majorHAnsi"/>
        </w:rPr>
      </w:pPr>
    </w:p>
    <w:p w14:paraId="3B192A7F" w14:textId="77777777" w:rsidR="009A4F8F" w:rsidRPr="007061E6" w:rsidRDefault="00614CD8">
      <w:pPr>
        <w:spacing w:after="160" w:line="259" w:lineRule="auto"/>
        <w:jc w:val="both"/>
        <w:rPr>
          <w:rFonts w:asciiTheme="majorHAnsi" w:hAnsiTheme="majorHAnsi"/>
          <w:b/>
        </w:rPr>
      </w:pPr>
      <w:r w:rsidRPr="007061E6">
        <w:rPr>
          <w:rFonts w:asciiTheme="majorHAnsi" w:hAnsiTheme="majorHAnsi"/>
          <w:b/>
        </w:rPr>
        <w:t>Priorità D.2: Elettrificazione del Trasporto Pubblico Locale su gomma</w:t>
      </w:r>
    </w:p>
    <w:p w14:paraId="4F802F97" w14:textId="77777777" w:rsidR="009A4F8F" w:rsidRPr="007061E6" w:rsidRDefault="00614CD8">
      <w:pPr>
        <w:spacing w:after="160" w:line="259" w:lineRule="auto"/>
        <w:jc w:val="both"/>
        <w:rPr>
          <w:rFonts w:asciiTheme="majorHAnsi" w:hAnsiTheme="majorHAnsi"/>
        </w:rPr>
      </w:pPr>
      <w:r w:rsidRPr="007061E6">
        <w:rPr>
          <w:rFonts w:asciiTheme="majorHAnsi" w:eastAsia="Calibri" w:hAnsiTheme="majorHAnsi" w:cs="Calibri"/>
        </w:rPr>
        <w:t xml:space="preserve">ASSTRA e ANEV hanno stimato che il fabbisogno necessario a un ricambio della flotta del trasporto pubblico locale su gomma con mezzi a zero emissioni sarebbe il triplo dello stanziamento del Piano Strategico Nazionale della Mobilità Sostenibile, che già ammonta a 3,9 miliardi fino al 2033. Se è quindi fondamentale rafforzare i fondi per l’acquisto del </w:t>
      </w:r>
      <w:sdt>
        <w:sdtPr>
          <w:rPr>
            <w:rFonts w:asciiTheme="majorHAnsi" w:hAnsiTheme="majorHAnsi"/>
          </w:rPr>
          <w:tag w:val="goog_rdk_38"/>
          <w:id w:val="-1612429082"/>
        </w:sdtPr>
        <w:sdtEndPr/>
        <w:sdtContent>
          <w:r w:rsidRPr="007061E6">
            <w:rPr>
              <w:rFonts w:asciiTheme="majorHAnsi" w:eastAsia="Calibri" w:hAnsiTheme="majorHAnsi" w:cs="Calibri"/>
            </w:rPr>
            <w:t>p</w:t>
          </w:r>
        </w:sdtContent>
      </w:sdt>
      <w:sdt>
        <w:sdtPr>
          <w:rPr>
            <w:rFonts w:asciiTheme="majorHAnsi" w:hAnsiTheme="majorHAnsi"/>
          </w:rPr>
          <w:tag w:val="goog_rdk_39"/>
          <w:id w:val="-489786231"/>
          <w:showingPlcHdr/>
        </w:sdtPr>
        <w:sdtEndPr/>
        <w:sdtContent>
          <w:r w:rsidR="00505389" w:rsidRPr="007061E6">
            <w:rPr>
              <w:rFonts w:asciiTheme="majorHAnsi" w:hAnsiTheme="majorHAnsi"/>
            </w:rPr>
            <w:t xml:space="preserve">     </w:t>
          </w:r>
        </w:sdtContent>
      </w:sdt>
      <w:r w:rsidRPr="007061E6">
        <w:rPr>
          <w:rFonts w:asciiTheme="majorHAnsi" w:eastAsia="Calibri" w:hAnsiTheme="majorHAnsi" w:cs="Calibri"/>
        </w:rPr>
        <w:t>arco mezzi del trasporto pubblico locale su gomma, tuttavia non si può pensare di potenziare la dotazione di risorse senza prevedere degli accorgimenti: innanzitutto dedicando ai mezzi a zero emissioni una parte corposa delle risorse, al fine di guidare gli operatori concessionari all’elettrificazione delle linee autobus; nella misura D2 calcoliamo che un rafforzamento di circa 3,6 miliardi di euro consentirebbe di coprire il gap di prezzo, rispetto ai veicoli diesel, dell’acquisto o noleggio operativo di 15.000 autobus a zero emissioni e delle relative infrastrutture di ricarica (considerando sia i 12 metri con ricarica in deposito sia i 18 metri con ricarica ad alta potenza al capolinea).</w:t>
      </w:r>
      <w:r w:rsidR="00145450" w:rsidRPr="007061E6">
        <w:rPr>
          <w:rFonts w:asciiTheme="majorHAnsi" w:eastAsia="Calibri" w:hAnsiTheme="majorHAnsi" w:cs="Calibri"/>
        </w:rPr>
        <w:tab/>
      </w:r>
      <w:r w:rsidRPr="007061E6">
        <w:rPr>
          <w:rFonts w:asciiTheme="majorHAnsi" w:eastAsia="Calibri" w:hAnsiTheme="majorHAnsi" w:cs="Calibri"/>
        </w:rPr>
        <w:br/>
      </w:r>
      <w:r w:rsidRPr="007061E6">
        <w:rPr>
          <w:rFonts w:asciiTheme="majorHAnsi" w:eastAsia="Calibri" w:hAnsiTheme="majorHAnsi" w:cs="Calibri"/>
        </w:rPr>
        <w:lastRenderedPageBreak/>
        <w:t xml:space="preserve">Dal lato delle riforme però sarà fondamentale reinserire una differenziazione del finanziamento, purtroppo annullata dalla Legge Rilancio, fra i mezzi a metano e i mezzi elettrici, dove i primi presentano una riduzione, nel migliore dei casi, di un 15% di biossido di carbonio rispetto ai diesel e un abbattimento parziale degli inquinanti locali. Inoltre, al fine di poter meglio integrare i mezzi e le infrastrutture elettriche all’interno delle flotte degli operatori TPL, sarà necessario rivedere le attuali modalità di accesso ai fondi estendendole anche al noleggio operativo per offerte integrate mezzi + infrastrutture + energia, oltre a consentire agli operatori di accedere ai fondi anche attraverso l’adozione di Partnership Pubblico Private per progetti di elettrificazione di linee autobus, per convogliare maggiori risorse private da investire nel ricambio delle flotte. </w:t>
      </w:r>
      <w:r w:rsidRPr="007061E6">
        <w:rPr>
          <w:rFonts w:asciiTheme="majorHAnsi" w:hAnsiTheme="majorHAnsi"/>
        </w:rPr>
        <w:t xml:space="preserve"> </w:t>
      </w:r>
    </w:p>
    <w:p w14:paraId="03AE8B73" w14:textId="77777777" w:rsidR="009A4F8F" w:rsidRPr="007061E6" w:rsidRDefault="00614CD8">
      <w:pPr>
        <w:spacing w:after="160" w:line="259" w:lineRule="auto"/>
        <w:jc w:val="both"/>
        <w:rPr>
          <w:rFonts w:asciiTheme="majorHAnsi" w:hAnsiTheme="majorHAnsi"/>
        </w:rPr>
      </w:pPr>
      <w:r w:rsidRPr="007061E6">
        <w:rPr>
          <w:rFonts w:asciiTheme="majorHAnsi" w:hAnsiTheme="majorHAnsi"/>
          <w:b/>
        </w:rPr>
        <w:t>Le altre misure per la Domanda</w:t>
      </w:r>
    </w:p>
    <w:p w14:paraId="5A287B37" w14:textId="494995F2" w:rsidR="009A4F8F" w:rsidRDefault="00614CD8">
      <w:pPr>
        <w:spacing w:after="160" w:line="259" w:lineRule="auto"/>
        <w:jc w:val="both"/>
        <w:rPr>
          <w:rFonts w:asciiTheme="majorHAnsi" w:eastAsia="Calibri" w:hAnsiTheme="majorHAnsi" w:cs="Calibri"/>
        </w:rPr>
      </w:pPr>
      <w:r w:rsidRPr="007061E6">
        <w:rPr>
          <w:rFonts w:asciiTheme="majorHAnsi" w:eastAsia="Calibri" w:hAnsiTheme="majorHAnsi" w:cs="Calibri"/>
        </w:rPr>
        <w:t xml:space="preserve">Altre misure di grande importanza per la crescita della mobilità elettrica, soprattutto nell’ambito delle flotte aziendali, dei veicoli di trasporto merci e delle flotte della pubblica amministrazione, si sono individuate nelle seguenti: revisione del </w:t>
      </w:r>
      <w:r w:rsidRPr="007061E6">
        <w:rPr>
          <w:rFonts w:asciiTheme="majorHAnsi" w:eastAsia="Calibri" w:hAnsiTheme="majorHAnsi" w:cs="Calibri"/>
          <w:b/>
        </w:rPr>
        <w:t>trattamento fiscale delle flotte aziendali</w:t>
      </w:r>
      <w:r w:rsidRPr="007061E6">
        <w:rPr>
          <w:rFonts w:asciiTheme="majorHAnsi" w:eastAsia="Calibri" w:hAnsiTheme="majorHAnsi" w:cs="Calibri"/>
        </w:rPr>
        <w:t>, inclusi liberi professionisti e agenti di commercio, a zero emissioni (misura D.3), rivedendo i meccanismi di deducibilità del costo di acquisto o noleggio dei mezzi e l’imponibile sul fringe benefit dei dipendenti le sole auto a zero emissioni; misura D.4, che sconta un’</w:t>
      </w:r>
      <w:r w:rsidRPr="007061E6">
        <w:rPr>
          <w:rFonts w:asciiTheme="majorHAnsi" w:eastAsia="Calibri" w:hAnsiTheme="majorHAnsi" w:cs="Calibri"/>
          <w:b/>
        </w:rPr>
        <w:t>IVA al 10% per i servizi di car sharing effettuati tramite auto a zero emissioni</w:t>
      </w:r>
      <w:r w:rsidRPr="007061E6">
        <w:rPr>
          <w:rFonts w:asciiTheme="majorHAnsi" w:eastAsia="Calibri" w:hAnsiTheme="majorHAnsi" w:cs="Calibri"/>
        </w:rPr>
        <w:t xml:space="preserve">; misura D.5, che prevede </w:t>
      </w:r>
      <w:r w:rsidRPr="007061E6">
        <w:rPr>
          <w:rFonts w:asciiTheme="majorHAnsi" w:eastAsia="Calibri" w:hAnsiTheme="majorHAnsi" w:cs="Calibri"/>
          <w:b/>
        </w:rPr>
        <w:t>sostegno all’acquisto di mezzi commerciali (N1, N2 e N3) a zero emissioni</w:t>
      </w:r>
      <w:r w:rsidRPr="007061E6">
        <w:rPr>
          <w:rFonts w:asciiTheme="majorHAnsi" w:eastAsia="Calibri" w:hAnsiTheme="majorHAnsi" w:cs="Calibri"/>
        </w:rPr>
        <w:t xml:space="preserve"> (sia per il conto proprio ma anche per il conto </w:t>
      </w:r>
      <w:r w:rsidR="005443BE">
        <w:rPr>
          <w:rFonts w:asciiTheme="majorHAnsi" w:eastAsia="Calibri" w:hAnsiTheme="majorHAnsi" w:cs="Calibri"/>
        </w:rPr>
        <w:t>terzi)</w:t>
      </w:r>
      <w:r w:rsidRPr="007061E6">
        <w:rPr>
          <w:rFonts w:asciiTheme="majorHAnsi" w:eastAsia="Calibri" w:hAnsiTheme="majorHAnsi" w:cs="Calibri"/>
        </w:rPr>
        <w:t xml:space="preserve">. </w:t>
      </w:r>
    </w:p>
    <w:p w14:paraId="5E0BCEE9" w14:textId="77777777" w:rsidR="004C625E" w:rsidRPr="007061E6" w:rsidRDefault="004C625E">
      <w:pPr>
        <w:spacing w:after="160" w:line="259" w:lineRule="auto"/>
        <w:jc w:val="both"/>
        <w:rPr>
          <w:rFonts w:asciiTheme="majorHAnsi" w:eastAsia="Calibri" w:hAnsiTheme="majorHAnsi" w:cs="Calibri"/>
        </w:rPr>
      </w:pPr>
    </w:p>
    <w:p w14:paraId="060DA9FF" w14:textId="77777777" w:rsidR="009A4F8F" w:rsidRPr="007061E6" w:rsidRDefault="00614CD8" w:rsidP="004C625E">
      <w:pPr>
        <w:pStyle w:val="Titolo3"/>
        <w:spacing w:before="0"/>
        <w:rPr>
          <w:rFonts w:asciiTheme="majorHAnsi" w:hAnsiTheme="majorHAnsi"/>
        </w:rPr>
      </w:pPr>
      <w:bookmarkStart w:id="14" w:name="_Toc60993396"/>
      <w:r w:rsidRPr="007061E6">
        <w:rPr>
          <w:rFonts w:asciiTheme="majorHAnsi" w:hAnsiTheme="majorHAnsi"/>
        </w:rPr>
        <w:t>Infrastrutture</w:t>
      </w:r>
      <w:bookmarkEnd w:id="14"/>
    </w:p>
    <w:p w14:paraId="553F5DF3" w14:textId="77777777" w:rsidR="009A4F8F" w:rsidRPr="007061E6" w:rsidRDefault="00614CD8">
      <w:pPr>
        <w:spacing w:after="160" w:line="259" w:lineRule="auto"/>
        <w:jc w:val="both"/>
        <w:rPr>
          <w:rFonts w:asciiTheme="majorHAnsi" w:hAnsiTheme="majorHAnsi"/>
        </w:rPr>
      </w:pPr>
      <w:r w:rsidRPr="007061E6">
        <w:rPr>
          <w:rFonts w:asciiTheme="majorHAnsi" w:hAnsiTheme="majorHAnsi"/>
          <w:b/>
        </w:rPr>
        <w:t>Priorità I.1: Fondo per lo sviluppo di una rete nazionale di infrastrutture di ricarica ad accesso pubblico</w:t>
      </w:r>
    </w:p>
    <w:p w14:paraId="7B040399" w14:textId="61015314" w:rsidR="009A4F8F" w:rsidRPr="007061E6" w:rsidRDefault="00614CD8">
      <w:pPr>
        <w:pBdr>
          <w:top w:val="nil"/>
          <w:left w:val="nil"/>
          <w:bottom w:val="nil"/>
          <w:right w:val="nil"/>
          <w:between w:val="nil"/>
        </w:pBdr>
        <w:spacing w:after="160" w:line="259" w:lineRule="auto"/>
        <w:jc w:val="both"/>
        <w:rPr>
          <w:rFonts w:asciiTheme="majorHAnsi" w:eastAsia="Calibri" w:hAnsiTheme="majorHAnsi" w:cs="Calibri"/>
        </w:rPr>
      </w:pPr>
      <w:r w:rsidRPr="007061E6">
        <w:rPr>
          <w:rFonts w:asciiTheme="majorHAnsi" w:eastAsia="Calibri" w:hAnsiTheme="majorHAnsi" w:cs="Calibri"/>
        </w:rPr>
        <w:t xml:space="preserve">MOTUS-E ha stimato un target di infrastrutture di ricarica ad accesso pubblico di circa 95-130.000 punti di ricarica al 2030 a seconda dello scenario utilizzato; tali obiettivi sono stati previsti compatibilmente con i modelli di business degli operatori dei servizi di ricarica, che oggi scontano uno scarso utilizzo dei propri asset </w:t>
      </w:r>
      <w:r w:rsidR="00D63261">
        <w:rPr>
          <w:rFonts w:asciiTheme="majorHAnsi" w:eastAsia="Calibri" w:hAnsiTheme="majorHAnsi" w:cs="Calibri"/>
        </w:rPr>
        <w:t>che sono</w:t>
      </w:r>
      <w:r w:rsidR="00D63261" w:rsidRPr="007061E6">
        <w:rPr>
          <w:rFonts w:asciiTheme="majorHAnsi" w:eastAsia="Calibri" w:hAnsiTheme="majorHAnsi" w:cs="Calibri"/>
        </w:rPr>
        <w:t xml:space="preserve"> </w:t>
      </w:r>
      <w:r w:rsidRPr="007061E6">
        <w:rPr>
          <w:rFonts w:asciiTheme="majorHAnsi" w:eastAsia="Calibri" w:hAnsiTheme="majorHAnsi" w:cs="Calibri"/>
        </w:rPr>
        <w:t>ritenuti</w:t>
      </w:r>
      <w:r w:rsidR="00D63261">
        <w:rPr>
          <w:rFonts w:asciiTheme="majorHAnsi" w:eastAsia="Calibri" w:hAnsiTheme="majorHAnsi" w:cs="Calibri"/>
        </w:rPr>
        <w:t>, giustamente,</w:t>
      </w:r>
      <w:r w:rsidRPr="007061E6">
        <w:rPr>
          <w:rFonts w:asciiTheme="majorHAnsi" w:eastAsia="Calibri" w:hAnsiTheme="majorHAnsi" w:cs="Calibri"/>
        </w:rPr>
        <w:t xml:space="preserve"> fattori abilitanti fondamentali per la crescita dei veicoli elettrici. Riteniamo che con un supporto diretto agli operatori per l’acquisto dell</w:t>
      </w:r>
      <w:r w:rsidR="00D63261">
        <w:rPr>
          <w:rFonts w:asciiTheme="majorHAnsi" w:eastAsia="Calibri" w:hAnsiTheme="majorHAnsi" w:cs="Calibri"/>
        </w:rPr>
        <w:t>e infrastrutture di ricarica e per gli investimenti relativi alle</w:t>
      </w:r>
      <w:r w:rsidRPr="007061E6">
        <w:rPr>
          <w:rFonts w:asciiTheme="majorHAnsi" w:eastAsia="Calibri" w:hAnsiTheme="majorHAnsi" w:cs="Calibri"/>
        </w:rPr>
        <w:t xml:space="preserve"> opere civili</w:t>
      </w:r>
      <w:r w:rsidR="00D63261">
        <w:rPr>
          <w:rFonts w:asciiTheme="majorHAnsi" w:eastAsia="Calibri" w:hAnsiTheme="majorHAnsi" w:cs="Calibri"/>
        </w:rPr>
        <w:t xml:space="preserve">, elettriche </w:t>
      </w:r>
      <w:r w:rsidRPr="007061E6">
        <w:rPr>
          <w:rFonts w:asciiTheme="majorHAnsi" w:eastAsia="Calibri" w:hAnsiTheme="majorHAnsi" w:cs="Calibri"/>
        </w:rPr>
        <w:t xml:space="preserve">e delle connessioni alla rete si possono anticipare i target previsti e garantire ai sempre più numerosi guidatori di mezzi elettrici un’offerta di servizi di ricarica omogenea sul territorio nazionale (oggi il gap del Sud Italia è evidente), differenziata in termini di potenza e velocità di ricarica e capillare sia in ambito urbano sia extraurbano (oggi in autostrada i punti di ricarica ultra-veloci, cioè sopra i 50 kW di potenza, non superano le 20 unità). A tal fine si è stimata </w:t>
      </w:r>
      <w:r w:rsidR="0097152E">
        <w:rPr>
          <w:rFonts w:asciiTheme="majorHAnsi" w:eastAsia="Calibri" w:hAnsiTheme="majorHAnsi" w:cs="Calibri"/>
        </w:rPr>
        <w:t>una spesa nell’ordine dei 67</w:t>
      </w:r>
      <w:r w:rsidRPr="007061E6">
        <w:rPr>
          <w:rFonts w:asciiTheme="majorHAnsi" w:eastAsia="Calibri" w:hAnsiTheme="majorHAnsi" w:cs="Calibri"/>
        </w:rPr>
        <w:t xml:space="preserve">0 milioni di euro che consentirebbe un sostegno </w:t>
      </w:r>
      <w:r w:rsidR="009A6069">
        <w:rPr>
          <w:rFonts w:asciiTheme="majorHAnsi" w:eastAsia="Calibri" w:hAnsiTheme="majorHAnsi" w:cs="Calibri"/>
        </w:rPr>
        <w:t>per gli anni dal 2021 al 2026, tale da rendere l’Italia un paese all’avanguardia per la mobilità elettrica. Al fine di evitare di sovvenzionare infrastrutture non utili o non gestite correttamente, i contributi previsti da Motus-E sono strutturat</w:t>
      </w:r>
      <w:r w:rsidR="00CA2A5D">
        <w:rPr>
          <w:rFonts w:asciiTheme="majorHAnsi" w:eastAsia="Calibri" w:hAnsiTheme="majorHAnsi" w:cs="Calibri"/>
        </w:rPr>
        <w:t>i</w:t>
      </w:r>
      <w:r w:rsidR="009A6069">
        <w:rPr>
          <w:rFonts w:asciiTheme="majorHAnsi" w:eastAsia="Calibri" w:hAnsiTheme="majorHAnsi" w:cs="Calibri"/>
        </w:rPr>
        <w:t xml:space="preserve"> in modo tale da raggiungere due </w:t>
      </w:r>
      <w:r w:rsidR="00CA2A5D">
        <w:rPr>
          <w:rFonts w:asciiTheme="majorHAnsi" w:eastAsia="Calibri" w:hAnsiTheme="majorHAnsi" w:cs="Calibri"/>
        </w:rPr>
        <w:t>obiettivi</w:t>
      </w:r>
      <w:r w:rsidR="009A6069">
        <w:rPr>
          <w:rFonts w:asciiTheme="majorHAnsi" w:eastAsia="Calibri" w:hAnsiTheme="majorHAnsi" w:cs="Calibri"/>
        </w:rPr>
        <w:t xml:space="preserve"> principali, ovvero i) coprire le aree in cui gli operatori non riescono a garantire con propri capitali la capillarità prevista nei piani nazionali (ad es. quanto stabilito nel Decreto Semplificazioni di 1 punto di ricarica ogni 1000 abitanti), e ii) garantire un servizio di elevata qualità all’utente finale aiutando quelle infrastrutture non sovvenzionate che garantiscono degli standard di servizio elevati e non raggiungono nei primi anni di crescita del mercato dei volumi sufficienti a ripagare gli investimenti effettuati dagli operatori.</w:t>
      </w:r>
      <w:r w:rsidR="00CA2A5D">
        <w:rPr>
          <w:rFonts w:asciiTheme="majorHAnsi" w:eastAsia="Calibri" w:hAnsiTheme="majorHAnsi" w:cs="Calibri"/>
        </w:rPr>
        <w:t xml:space="preserve"> </w:t>
      </w:r>
      <w:r w:rsidR="009A6069">
        <w:rPr>
          <w:rFonts w:asciiTheme="majorHAnsi" w:eastAsia="Calibri" w:hAnsiTheme="majorHAnsi" w:cs="Calibri"/>
        </w:rPr>
        <w:t>In tal senso si ipotizzano</w:t>
      </w:r>
      <w:r w:rsidR="00CA2A5D">
        <w:rPr>
          <w:rFonts w:asciiTheme="majorHAnsi" w:eastAsia="Calibri" w:hAnsiTheme="majorHAnsi" w:cs="Calibri"/>
        </w:rPr>
        <w:t>:</w:t>
      </w:r>
      <w:r w:rsidR="009A6069">
        <w:rPr>
          <w:rFonts w:asciiTheme="majorHAnsi" w:eastAsia="Calibri" w:hAnsiTheme="majorHAnsi" w:cs="Calibri"/>
        </w:rPr>
        <w:t xml:space="preserve"> i) contributi </w:t>
      </w:r>
      <w:r w:rsidR="009A6069" w:rsidRPr="007061E6">
        <w:rPr>
          <w:rFonts w:asciiTheme="majorHAnsi" w:eastAsia="Calibri" w:hAnsiTheme="majorHAnsi" w:cs="Calibri"/>
        </w:rPr>
        <w:t>dirett</w:t>
      </w:r>
      <w:r w:rsidR="009A6069">
        <w:rPr>
          <w:rFonts w:asciiTheme="majorHAnsi" w:eastAsia="Calibri" w:hAnsiTheme="majorHAnsi" w:cs="Calibri"/>
        </w:rPr>
        <w:t>i</w:t>
      </w:r>
      <w:r w:rsidR="009A6069" w:rsidRPr="007061E6">
        <w:rPr>
          <w:rFonts w:asciiTheme="majorHAnsi" w:eastAsia="Calibri" w:hAnsiTheme="majorHAnsi" w:cs="Calibri"/>
        </w:rPr>
        <w:t xml:space="preserve"> al mercato </w:t>
      </w:r>
      <w:r w:rsidR="009A6069">
        <w:rPr>
          <w:rFonts w:asciiTheme="majorHAnsi" w:eastAsia="Calibri" w:hAnsiTheme="majorHAnsi" w:cs="Calibri"/>
        </w:rPr>
        <w:t xml:space="preserve">per le </w:t>
      </w:r>
      <w:r w:rsidR="009A6069">
        <w:rPr>
          <w:rFonts w:asciiTheme="majorHAnsi" w:eastAsia="Calibri" w:hAnsiTheme="majorHAnsi" w:cs="Calibri"/>
        </w:rPr>
        <w:lastRenderedPageBreak/>
        <w:t>sole aree che non raggiungono in assenza di contributi pubblici la capillarità necessaria</w:t>
      </w:r>
      <w:r w:rsidR="00CA2A5D">
        <w:rPr>
          <w:rFonts w:asciiTheme="majorHAnsi" w:eastAsia="Calibri" w:hAnsiTheme="majorHAnsi" w:cs="Calibri"/>
        </w:rPr>
        <w:t xml:space="preserve"> prevista dai piani nazionali</w:t>
      </w:r>
      <w:r w:rsidR="0097152E">
        <w:rPr>
          <w:rFonts w:asciiTheme="majorHAnsi" w:eastAsia="Calibri" w:hAnsiTheme="majorHAnsi" w:cs="Calibri"/>
        </w:rPr>
        <w:t xml:space="preserve"> </w:t>
      </w:r>
      <w:r w:rsidR="009A6069">
        <w:rPr>
          <w:rFonts w:asciiTheme="majorHAnsi" w:eastAsia="Calibri" w:hAnsiTheme="majorHAnsi" w:cs="Calibri"/>
        </w:rPr>
        <w:t xml:space="preserve">pari al </w:t>
      </w:r>
      <w:r w:rsidRPr="007061E6">
        <w:rPr>
          <w:rFonts w:asciiTheme="majorHAnsi" w:eastAsia="Calibri" w:hAnsiTheme="majorHAnsi" w:cs="Calibri"/>
        </w:rPr>
        <w:t xml:space="preserve">40% delle spese </w:t>
      </w:r>
      <w:r w:rsidR="00CA2A5D">
        <w:rPr>
          <w:rFonts w:asciiTheme="majorHAnsi" w:eastAsia="Calibri" w:hAnsiTheme="majorHAnsi" w:cs="Calibri"/>
        </w:rPr>
        <w:t xml:space="preserve">di investimento </w:t>
      </w:r>
      <w:r w:rsidRPr="007061E6">
        <w:rPr>
          <w:rFonts w:asciiTheme="majorHAnsi" w:eastAsia="Calibri" w:hAnsiTheme="majorHAnsi" w:cs="Calibri"/>
        </w:rPr>
        <w:t xml:space="preserve">per le infrastrutture di ricarica lente e accelerate (dai 3 ai 22 kW inclusi) e del 50% sulle infrastrutture di ricarica veloci e </w:t>
      </w:r>
      <w:r w:rsidR="004C625E" w:rsidRPr="007061E6">
        <w:rPr>
          <w:rFonts w:asciiTheme="majorHAnsi" w:eastAsia="Calibri" w:hAnsiTheme="majorHAnsi" w:cs="Calibri"/>
        </w:rPr>
        <w:t>ultraveloci</w:t>
      </w:r>
      <w:r w:rsidR="009A6069">
        <w:rPr>
          <w:rFonts w:asciiTheme="majorHAnsi" w:eastAsia="Calibri" w:hAnsiTheme="majorHAnsi" w:cs="Calibri"/>
        </w:rPr>
        <w:t xml:space="preserve"> e ii) contributi </w:t>
      </w:r>
      <w:r w:rsidR="00CA2A5D">
        <w:rPr>
          <w:rFonts w:asciiTheme="majorHAnsi" w:eastAsia="Calibri" w:hAnsiTheme="majorHAnsi" w:cs="Calibri"/>
        </w:rPr>
        <w:t>a copertura dei costi di esercizio per l</w:t>
      </w:r>
      <w:r w:rsidR="009A6069">
        <w:rPr>
          <w:rFonts w:asciiTheme="majorHAnsi" w:eastAsia="Calibri" w:hAnsiTheme="majorHAnsi" w:cs="Calibri"/>
        </w:rPr>
        <w:t xml:space="preserve">e infrastrutture di ricarica che non hanno ricevuto contributi pubblici (e quindi finanziate interamente dagli operatori di mercato) </w:t>
      </w:r>
      <w:r w:rsidR="00CA2A5D">
        <w:rPr>
          <w:rFonts w:asciiTheme="majorHAnsi" w:eastAsia="Calibri" w:hAnsiTheme="majorHAnsi" w:cs="Calibri"/>
        </w:rPr>
        <w:t>e che non raggiungono dei volumi minimi di erogato tali da ripagare costi e investimenti della rete di ricarica</w:t>
      </w:r>
      <w:r w:rsidRPr="007061E6">
        <w:rPr>
          <w:rFonts w:asciiTheme="majorHAnsi" w:eastAsia="Calibri" w:hAnsiTheme="majorHAnsi" w:cs="Calibri"/>
        </w:rPr>
        <w:t>.</w:t>
      </w:r>
      <w:r w:rsidR="00CA2A5D">
        <w:rPr>
          <w:rFonts w:asciiTheme="majorHAnsi" w:eastAsia="Calibri" w:hAnsiTheme="majorHAnsi" w:cs="Calibri"/>
        </w:rPr>
        <w:t xml:space="preserve"> È importante che tali contributi vengano dat</w:t>
      </w:r>
      <w:r w:rsidR="0097152E">
        <w:rPr>
          <w:rFonts w:asciiTheme="majorHAnsi" w:eastAsia="Calibri" w:hAnsiTheme="majorHAnsi" w:cs="Calibri"/>
        </w:rPr>
        <w:t>i</w:t>
      </w:r>
      <w:r w:rsidR="00CA2A5D">
        <w:rPr>
          <w:rFonts w:asciiTheme="majorHAnsi" w:eastAsia="Calibri" w:hAnsiTheme="majorHAnsi" w:cs="Calibri"/>
        </w:rPr>
        <w:t xml:space="preserve"> unicamente ad operatori che rispettino dei livelli di servizio e qualità minimi, come ad esempio l’interoperabilità, la presenza di un customer service bilingue 24/7 a disposizione dei Mobility Service Provider (e quindi dei clienti finali) e un livello minimo di disponibilità delle prese di ricarica (ad esempio 90% delle ore su base annuale). </w:t>
      </w:r>
      <w:r w:rsidRPr="007061E6">
        <w:rPr>
          <w:rFonts w:asciiTheme="majorHAnsi" w:eastAsia="Calibri" w:hAnsiTheme="majorHAnsi" w:cs="Calibri"/>
        </w:rPr>
        <w:t xml:space="preserve"> Un fondo di sostegno di questo genere va guidato a livello nazionale (MIT o M</w:t>
      </w:r>
      <w:r w:rsidR="004C625E">
        <w:rPr>
          <w:rFonts w:asciiTheme="majorHAnsi" w:eastAsia="Calibri" w:hAnsiTheme="majorHAnsi" w:cs="Calibri"/>
        </w:rPr>
        <w:t>I</w:t>
      </w:r>
      <w:r w:rsidRPr="007061E6">
        <w:rPr>
          <w:rFonts w:asciiTheme="majorHAnsi" w:eastAsia="Calibri" w:hAnsiTheme="majorHAnsi" w:cs="Calibri"/>
        </w:rPr>
        <w:t xml:space="preserve">SE), dando invece agli enti locali il fondamentale ruolo di valutazione del fabbisogno di punti di ricarica, di autorizzazione dei lavori e di monitoraggio degli avanzamenti, al fine eventualmente di modulare nel corso degli anni il supporto nelle regioni con carenze da sanare in termini di capillarità della rete e di diversificazione della velocità di ricarica. Per raggiungere questo scopo, al di là dello stanziamento delle risorse, sarà di primaria importanza notificare alla </w:t>
      </w:r>
      <w:r w:rsidRPr="004C625E">
        <w:rPr>
          <w:rFonts w:asciiTheme="majorHAnsi" w:eastAsia="Calibri" w:hAnsiTheme="majorHAnsi" w:cs="Calibri"/>
          <w:i/>
          <w:iCs/>
        </w:rPr>
        <w:t>DG Comp</w:t>
      </w:r>
      <w:r w:rsidR="004C625E" w:rsidRPr="004C625E">
        <w:rPr>
          <w:rFonts w:asciiTheme="majorHAnsi" w:eastAsia="Calibri" w:hAnsiTheme="majorHAnsi" w:cs="Calibri"/>
          <w:i/>
          <w:iCs/>
        </w:rPr>
        <w:t>etition</w:t>
      </w:r>
      <w:r w:rsidRPr="007061E6">
        <w:rPr>
          <w:rFonts w:asciiTheme="majorHAnsi" w:eastAsia="Calibri" w:hAnsiTheme="majorHAnsi" w:cs="Calibri"/>
        </w:rPr>
        <w:t xml:space="preserve"> la deroga alla Normativa sugli aiuti di Stato, come fatto dalla Germania e dalla Romania, al fine di spostare le risorse dal finanziamento al 100% agli enti locali (come previsto dal Piano Nazionale delle Infrastrutture di Ricarica - PNIRE - e dalla Legge di Bilancio 2021) al co-finanziamento degli interventi degli operatori di mercato, che, in questa maniera, concorreranno al finanziamento della rete nazionale. </w:t>
      </w:r>
    </w:p>
    <w:p w14:paraId="640AF9FE" w14:textId="77777777" w:rsidR="009A4F8F" w:rsidRPr="007061E6" w:rsidRDefault="00614CD8">
      <w:pPr>
        <w:spacing w:after="160" w:line="259" w:lineRule="auto"/>
        <w:jc w:val="both"/>
        <w:rPr>
          <w:rFonts w:asciiTheme="majorHAnsi" w:eastAsia="Calibri" w:hAnsiTheme="majorHAnsi" w:cs="Calibri"/>
        </w:rPr>
      </w:pPr>
      <w:r w:rsidRPr="007061E6">
        <w:rPr>
          <w:rFonts w:asciiTheme="majorHAnsi" w:hAnsiTheme="majorHAnsi"/>
          <w:b/>
        </w:rPr>
        <w:t>Le altre misure per le Infrastrutture</w:t>
      </w:r>
    </w:p>
    <w:p w14:paraId="14257764" w14:textId="77777777" w:rsidR="009A4F8F" w:rsidRDefault="00614CD8">
      <w:pPr>
        <w:spacing w:after="160" w:line="259" w:lineRule="auto"/>
        <w:jc w:val="both"/>
        <w:rPr>
          <w:rFonts w:asciiTheme="majorHAnsi" w:eastAsia="Calibri" w:hAnsiTheme="majorHAnsi" w:cs="Calibri"/>
        </w:rPr>
      </w:pPr>
      <w:bookmarkStart w:id="15" w:name="_heading=h.68xhzz5d05yp" w:colFirst="0" w:colLast="0"/>
      <w:bookmarkEnd w:id="15"/>
      <w:r w:rsidRPr="007061E6">
        <w:rPr>
          <w:rFonts w:asciiTheme="majorHAnsi" w:eastAsia="Calibri" w:hAnsiTheme="majorHAnsi" w:cs="Calibri"/>
        </w:rPr>
        <w:t xml:space="preserve">Se da un lato la ricarica pubblica rende la mobilità elettrica accessibile anche a un’ampia fetta di popolazione che non ha uno spazio di rimessaggio per il proprio veicolo, nonché abilita i viaggi interurbani favorendo l’uso dei mezzi elettrici come primo veicolo di famiglia e come mezzi aziendali per tutte le tipologie di missione, non si può trascurare la realizzazione di punti di ricarica privati e aziendali (Misura I.2), anche nell’ottica della massimizzazione dell’autoconsumo della produzione di energia di comunità energetiche e uffici. Per questo si prevede un investimento pari a 1,1 miliardi di euro che supportino la </w:t>
      </w:r>
      <w:r w:rsidRPr="007061E6">
        <w:rPr>
          <w:rFonts w:asciiTheme="majorHAnsi" w:eastAsia="Calibri" w:hAnsiTheme="majorHAnsi" w:cs="Calibri"/>
          <w:b/>
        </w:rPr>
        <w:t>prosecuzione dell’attuale credito di imposta sulle infrastrutture di ricarica private e l’estensione di questo mezzo alle imprese</w:t>
      </w:r>
      <w:r w:rsidRPr="007061E6">
        <w:rPr>
          <w:rFonts w:asciiTheme="majorHAnsi" w:eastAsia="Calibri" w:hAnsiTheme="majorHAnsi" w:cs="Calibri"/>
        </w:rPr>
        <w:t xml:space="preserve"> (diminuendo gli anni di fruizione del credito da 10 a 5, eliminando i limiti sul numero di infrastrutture e sulla loro potenza e aumentando la soglia di spesa a 100.000 euro). Questo intervento garantirebbe un supporto alla realizzazione di più di 2 milioni di punti di ricarica privati e aziendali e vi ricadrebbe anche la </w:t>
      </w:r>
      <w:r w:rsidRPr="007061E6">
        <w:rPr>
          <w:rFonts w:asciiTheme="majorHAnsi" w:eastAsia="Calibri" w:hAnsiTheme="majorHAnsi" w:cs="Calibri"/>
          <w:b/>
        </w:rPr>
        <w:t>realizzazione di infrastrutture di ricarica nei centri logistici e nei rimessaggi dei veicoli merci</w:t>
      </w:r>
      <w:r w:rsidRPr="007061E6">
        <w:rPr>
          <w:rFonts w:asciiTheme="majorHAnsi" w:eastAsia="Calibri" w:hAnsiTheme="majorHAnsi" w:cs="Calibri"/>
        </w:rPr>
        <w:t xml:space="preserve">, accompagnando il trend di elettrificazione del trasporto merci, in una prima fase dei veicoli merci leggeri della logistica urbana e in una seconda fase dei camion per medio e lungo raggio, che è un tassello fondamentale della visione di sostenibilità delle città. </w:t>
      </w:r>
    </w:p>
    <w:p w14:paraId="66CD6051" w14:textId="377E92D8" w:rsidR="005A65EF" w:rsidRPr="007061E6" w:rsidRDefault="005A65EF">
      <w:pPr>
        <w:spacing w:after="160" w:line="259" w:lineRule="auto"/>
        <w:jc w:val="both"/>
        <w:rPr>
          <w:rFonts w:asciiTheme="majorHAnsi" w:eastAsia="Calibri" w:hAnsiTheme="majorHAnsi" w:cs="Calibri"/>
        </w:rPr>
      </w:pPr>
      <w:r>
        <w:rPr>
          <w:rFonts w:asciiTheme="majorHAnsi" w:eastAsia="Calibri" w:hAnsiTheme="majorHAnsi" w:cs="Calibri"/>
        </w:rPr>
        <w:t>Fondamentale sarà inoltre prevedere l’i</w:t>
      </w:r>
      <w:r w:rsidRPr="005A65EF">
        <w:rPr>
          <w:rFonts w:asciiTheme="majorHAnsi" w:eastAsia="Calibri" w:hAnsiTheme="majorHAnsi" w:cs="Calibri"/>
        </w:rPr>
        <w:t>ntroduzione di appositi incentivi per colmare il differenziale di costo dell’infrastruttura bidirezionale (ad oggi circa il doppio) rispetto a quella unidirezionale per diffondere sin da ora infrastrutture di ricarica di ultima generazione dotate di tecnologia vehicle to grid</w:t>
      </w:r>
      <w:r>
        <w:rPr>
          <w:rFonts w:asciiTheme="majorHAnsi" w:eastAsia="Calibri" w:hAnsiTheme="majorHAnsi" w:cs="Calibri"/>
        </w:rPr>
        <w:t xml:space="preserve"> (V2G).</w:t>
      </w:r>
    </w:p>
    <w:p w14:paraId="7C62034D" w14:textId="77777777" w:rsidR="009A4F8F" w:rsidRDefault="00614CD8">
      <w:pPr>
        <w:spacing w:after="160" w:line="259" w:lineRule="auto"/>
        <w:jc w:val="both"/>
        <w:rPr>
          <w:rFonts w:asciiTheme="majorHAnsi" w:eastAsia="Calibri" w:hAnsiTheme="majorHAnsi" w:cs="Calibri"/>
        </w:rPr>
      </w:pPr>
      <w:bookmarkStart w:id="16" w:name="_heading=h.ckrs4qce58v8" w:colFirst="0" w:colLast="0"/>
      <w:bookmarkEnd w:id="16"/>
      <w:r w:rsidRPr="007061E6">
        <w:rPr>
          <w:rFonts w:asciiTheme="majorHAnsi" w:eastAsia="Calibri" w:hAnsiTheme="majorHAnsi" w:cs="Calibri"/>
        </w:rPr>
        <w:t xml:space="preserve">In ultimo sarà di fondamentale importanza l’elettrificazione dei porti italiani (Misura I.3): da una parte nell’ottica del cosiddetto </w:t>
      </w:r>
      <w:r w:rsidRPr="004C625E">
        <w:rPr>
          <w:rFonts w:asciiTheme="majorHAnsi" w:eastAsia="Calibri" w:hAnsiTheme="majorHAnsi" w:cs="Calibri"/>
          <w:b/>
          <w:bCs/>
          <w:i/>
        </w:rPr>
        <w:t>cold ironing</w:t>
      </w:r>
      <w:r w:rsidRPr="007061E6">
        <w:rPr>
          <w:rFonts w:asciiTheme="majorHAnsi" w:eastAsia="Calibri" w:hAnsiTheme="majorHAnsi" w:cs="Calibri"/>
        </w:rPr>
        <w:t xml:space="preserve">, cioè dell’utilizzo dell’energia elettrica dalla rete per l’alimentazione degli ausiliari delle navi ormeggiate, dall’altra nella prospettiva di elettrificazione di parte dei natanti: i </w:t>
      </w:r>
      <w:r w:rsidRPr="007061E6">
        <w:rPr>
          <w:rFonts w:asciiTheme="majorHAnsi" w:eastAsia="Calibri" w:hAnsiTheme="majorHAnsi" w:cs="Calibri"/>
        </w:rPr>
        <w:lastRenderedPageBreak/>
        <w:t xml:space="preserve">traghetti ro-ro e il trasporto pubblico su acqua e le navi cargo di piccola stazza. Nella proposta del presente documento si considera la connessione di banchine nei 41 </w:t>
      </w:r>
      <w:r w:rsidR="004C625E">
        <w:rPr>
          <w:rFonts w:asciiTheme="majorHAnsi" w:eastAsia="Calibri" w:hAnsiTheme="majorHAnsi" w:cs="Calibri"/>
        </w:rPr>
        <w:t xml:space="preserve">principali </w:t>
      </w:r>
      <w:r w:rsidRPr="007061E6">
        <w:rPr>
          <w:rFonts w:asciiTheme="majorHAnsi" w:eastAsia="Calibri" w:hAnsiTheme="majorHAnsi" w:cs="Calibri"/>
        </w:rPr>
        <w:t xml:space="preserve">porti italiani e l’elettrificazione di 200 rotte di traghetti ro-ro di corto raggio, per un totale di 1,1 miliardi di euro.  </w:t>
      </w:r>
      <w:bookmarkStart w:id="17" w:name="_heading=h.tj4bp6fynhmu" w:colFirst="0" w:colLast="0"/>
      <w:bookmarkStart w:id="18" w:name="_heading=h.m2w8twptq8ca" w:colFirst="0" w:colLast="0"/>
      <w:bookmarkEnd w:id="17"/>
      <w:bookmarkEnd w:id="18"/>
    </w:p>
    <w:p w14:paraId="5725A838" w14:textId="77777777" w:rsidR="00B21DA0" w:rsidRPr="007061E6" w:rsidRDefault="00B21DA0">
      <w:pPr>
        <w:spacing w:after="160" w:line="259" w:lineRule="auto"/>
        <w:jc w:val="both"/>
        <w:rPr>
          <w:rFonts w:asciiTheme="majorHAnsi" w:eastAsia="Calibri" w:hAnsiTheme="majorHAnsi" w:cs="Calibri"/>
        </w:rPr>
      </w:pPr>
    </w:p>
    <w:p w14:paraId="5AB340F0" w14:textId="77777777" w:rsidR="009A4F8F" w:rsidRPr="007061E6" w:rsidRDefault="00614CD8" w:rsidP="00B21DA0">
      <w:pPr>
        <w:pStyle w:val="Titolo3"/>
        <w:spacing w:before="0"/>
        <w:rPr>
          <w:rFonts w:asciiTheme="majorHAnsi" w:hAnsiTheme="majorHAnsi"/>
        </w:rPr>
      </w:pPr>
      <w:bookmarkStart w:id="19" w:name="_Toc60993397"/>
      <w:r w:rsidRPr="007061E6">
        <w:rPr>
          <w:rFonts w:asciiTheme="majorHAnsi" w:hAnsiTheme="majorHAnsi"/>
        </w:rPr>
        <w:t>Offerta</w:t>
      </w:r>
      <w:bookmarkEnd w:id="19"/>
    </w:p>
    <w:p w14:paraId="29CF13CD" w14:textId="77777777" w:rsidR="009A4F8F" w:rsidRPr="007061E6" w:rsidRDefault="00614CD8">
      <w:pPr>
        <w:spacing w:after="160" w:line="259" w:lineRule="auto"/>
        <w:jc w:val="both"/>
        <w:rPr>
          <w:rFonts w:asciiTheme="majorHAnsi" w:hAnsiTheme="majorHAnsi"/>
          <w:b/>
        </w:rPr>
      </w:pPr>
      <w:r w:rsidRPr="007061E6">
        <w:rPr>
          <w:rFonts w:asciiTheme="majorHAnsi" w:hAnsiTheme="majorHAnsi"/>
          <w:b/>
        </w:rPr>
        <w:t>Priorità O.1: Fondo per creazione di poli di produzione di celle agli ioni di litio per trazione</w:t>
      </w:r>
    </w:p>
    <w:p w14:paraId="0837666F" w14:textId="77777777" w:rsidR="009A4F8F" w:rsidRPr="007061E6" w:rsidRDefault="00614CD8">
      <w:pPr>
        <w:pBdr>
          <w:top w:val="nil"/>
          <w:left w:val="nil"/>
          <w:bottom w:val="nil"/>
          <w:right w:val="nil"/>
          <w:between w:val="nil"/>
        </w:pBdr>
        <w:spacing w:after="160" w:line="259" w:lineRule="auto"/>
        <w:jc w:val="both"/>
        <w:rPr>
          <w:rFonts w:asciiTheme="majorHAnsi" w:eastAsia="Calibri" w:hAnsiTheme="majorHAnsi" w:cs="Calibri"/>
        </w:rPr>
      </w:pPr>
      <w:bookmarkStart w:id="20" w:name="_heading=h.hasbc5z0v6" w:colFirst="0" w:colLast="0"/>
      <w:bookmarkEnd w:id="20"/>
      <w:r w:rsidRPr="007061E6">
        <w:rPr>
          <w:rFonts w:asciiTheme="majorHAnsi" w:eastAsia="Calibri" w:hAnsiTheme="majorHAnsi" w:cs="Calibri"/>
        </w:rPr>
        <w:t xml:space="preserve">Aziende italiane hanno presentato già alcuni progetti industriale e di ricerca sulle batterie che sono stati approvati all’interno del perimetro degli IPCEI, i progetti di importanza strategica per la comunità europea che consentono di derogare con dei fondi statali alle regole sugli aiuti di Stato e consentono quindi un cofinanziamento diretto all’iniziativa imprenditoriale (570 milioni di euro per l’IPCEI sulle batterie approvato alla fine del 2019, un altro in fase di discussione). </w:t>
      </w:r>
      <w:r w:rsidR="00B21DA0" w:rsidRPr="007061E6">
        <w:rPr>
          <w:rFonts w:asciiTheme="majorHAnsi" w:eastAsia="Calibri" w:hAnsiTheme="majorHAnsi" w:cs="Calibri"/>
        </w:rPr>
        <w:t>Tuttavia,</w:t>
      </w:r>
      <w:r w:rsidRPr="007061E6">
        <w:rPr>
          <w:rFonts w:asciiTheme="majorHAnsi" w:eastAsia="Calibri" w:hAnsiTheme="majorHAnsi" w:cs="Calibri"/>
        </w:rPr>
        <w:t xml:space="preserve"> nei due framework IPCEI lanciati nell’ambito automotive e batterie, la produzione di celle per trazione, soprattutto volte al mass market del mercato automotive, non è stata prevista in alcun progetto. Se quindi è meritoria l’iniziativa di molte aziende italiane o comunque operanti in Italia, serve far crescere l’ecosistema della produzione di celle agli ioni di litio e del loro riuso, recupero e riciclo sul nostro territorio. La European Battery Alliance si pone come obiettivo di mantenere una propria indipendenza sulla produzione di celle dal 2023 e ciò comporterà la necessaria prosecuzione di iniziative continentali (sia tramite nuovi IPCEI sia attraverso altre forme di finanziamento). La proposta è quindi quella di destinare a un nuovo IPCEI sulle batterie una quota importante, pari a 1 miliardo di euro da integrare con risorse di costruttori italiani o esteri, che porti alla creazione di una capacità produttiva di almeno 10 GWh di celle agli ioni di litio di nuova tipologia (ad esempio le nuove 4680 NMC 811 o NCA). Inoltre con un investimento molto più contenuto, pari a 50 milioni di euro, si potrebbe finanziare la creazione di un impianto, ulteriormente scalabile e replicabile, per il trattamento ai fini del </w:t>
      </w:r>
      <w:r w:rsidRPr="00F841F3">
        <w:rPr>
          <w:rFonts w:asciiTheme="majorHAnsi" w:eastAsia="Calibri" w:hAnsiTheme="majorHAnsi" w:cs="Calibri"/>
          <w:i/>
          <w:iCs/>
        </w:rPr>
        <w:t>re</w:t>
      </w:r>
      <w:r w:rsidR="00F841F3" w:rsidRPr="00F841F3">
        <w:rPr>
          <w:rFonts w:asciiTheme="majorHAnsi" w:eastAsia="Calibri" w:hAnsiTheme="majorHAnsi" w:cs="Calibri"/>
          <w:i/>
          <w:iCs/>
        </w:rPr>
        <w:t>-</w:t>
      </w:r>
      <w:r w:rsidRPr="00F841F3">
        <w:rPr>
          <w:rFonts w:asciiTheme="majorHAnsi" w:eastAsia="Calibri" w:hAnsiTheme="majorHAnsi" w:cs="Calibri"/>
          <w:i/>
          <w:iCs/>
        </w:rPr>
        <w:t>purposing</w:t>
      </w:r>
      <w:r w:rsidRPr="007061E6">
        <w:rPr>
          <w:rFonts w:asciiTheme="majorHAnsi" w:eastAsia="Calibri" w:hAnsiTheme="majorHAnsi" w:cs="Calibri"/>
        </w:rPr>
        <w:t>, del riuso per usi statici e del riciclo dei materiali, di batterie da varie applicazioni, tra cui trazione; l’impianto potrebbe raggiungere capacità di trattamento superiori alle 8.000 tonnellate/anno e potrebbe diventare un polo in cui testare le nuove tecnologie di riciclo a minor spesa energetica.</w:t>
      </w:r>
    </w:p>
    <w:p w14:paraId="50616453" w14:textId="77777777" w:rsidR="009A4F8F" w:rsidRPr="007061E6" w:rsidRDefault="00614CD8">
      <w:pPr>
        <w:pBdr>
          <w:top w:val="nil"/>
          <w:left w:val="nil"/>
          <w:bottom w:val="nil"/>
          <w:right w:val="nil"/>
          <w:between w:val="nil"/>
        </w:pBdr>
        <w:spacing w:after="160" w:line="259" w:lineRule="auto"/>
        <w:jc w:val="both"/>
        <w:rPr>
          <w:rFonts w:asciiTheme="majorHAnsi" w:eastAsia="Calibri" w:hAnsiTheme="majorHAnsi" w:cs="Calibri"/>
        </w:rPr>
      </w:pPr>
      <w:bookmarkStart w:id="21" w:name="_heading=h.l7kw0xuhbwp" w:colFirst="0" w:colLast="0"/>
      <w:bookmarkStart w:id="22" w:name="_heading=h.udcj4e1knc65" w:colFirst="0" w:colLast="0"/>
      <w:bookmarkEnd w:id="21"/>
      <w:bookmarkEnd w:id="22"/>
      <w:r w:rsidRPr="007061E6">
        <w:rPr>
          <w:rFonts w:asciiTheme="majorHAnsi" w:eastAsia="Calibri" w:hAnsiTheme="majorHAnsi" w:cs="Calibri"/>
        </w:rPr>
        <w:t xml:space="preserve">  </w:t>
      </w:r>
    </w:p>
    <w:p w14:paraId="4352A03D" w14:textId="77777777" w:rsidR="009A4F8F" w:rsidRPr="007061E6" w:rsidRDefault="00614CD8">
      <w:pPr>
        <w:spacing w:after="160" w:line="259" w:lineRule="auto"/>
        <w:jc w:val="both"/>
        <w:rPr>
          <w:rFonts w:asciiTheme="majorHAnsi" w:hAnsiTheme="majorHAnsi"/>
          <w:b/>
        </w:rPr>
      </w:pPr>
      <w:r w:rsidRPr="007061E6">
        <w:rPr>
          <w:rFonts w:asciiTheme="majorHAnsi" w:hAnsiTheme="majorHAnsi"/>
          <w:b/>
        </w:rPr>
        <w:t>Priorità O.2: dedicare una parte del nuovo Piano Transizione 4.0 alla riconversione industriale di una parte</w:t>
      </w:r>
    </w:p>
    <w:p w14:paraId="53DA2711" w14:textId="77777777" w:rsidR="009A4F8F" w:rsidRPr="007061E6" w:rsidRDefault="00614CD8">
      <w:pPr>
        <w:pBdr>
          <w:top w:val="nil"/>
          <w:left w:val="nil"/>
          <w:bottom w:val="nil"/>
          <w:right w:val="nil"/>
          <w:between w:val="nil"/>
        </w:pBdr>
        <w:spacing w:after="160" w:line="259" w:lineRule="auto"/>
        <w:jc w:val="both"/>
        <w:rPr>
          <w:rFonts w:asciiTheme="majorHAnsi" w:eastAsia="Calibri" w:hAnsiTheme="majorHAnsi" w:cs="Calibri"/>
        </w:rPr>
      </w:pPr>
      <w:r w:rsidRPr="007061E6">
        <w:rPr>
          <w:rFonts w:asciiTheme="majorHAnsi" w:eastAsia="Calibri" w:hAnsiTheme="majorHAnsi" w:cs="Calibri"/>
        </w:rPr>
        <w:t xml:space="preserve">Il settore automotive conta circa 5.700 imprese per un fatturato pari all’11% del fatturato manifatturiero italiano. Per tale ragione è strategico accompagnarne la riconversione verso la tecnologia che sarà dominante sul mercato della mobilità nei prossimi anni. Si propone quindi di focalizzare questa percentuale del Piano Transizione 4.0, per un valore pari a 2,07 miliardi di euro, alla transizione del settore automotive e dei nuovi settori coinvolti nella trasformazione di veicoli e infrastrutture (componentistica elettrica ed elettronica, digitalizzazione di mezzi e C-ITS, piattaforme SW per nuovi servizi) attraverso </w:t>
      </w:r>
      <w:sdt>
        <w:sdtPr>
          <w:rPr>
            <w:rFonts w:asciiTheme="majorHAnsi" w:hAnsiTheme="majorHAnsi"/>
          </w:rPr>
          <w:tag w:val="goog_rdk_40"/>
          <w:id w:val="-90934898"/>
          <w:showingPlcHdr/>
        </w:sdtPr>
        <w:sdtEndPr/>
        <w:sdtContent>
          <w:r w:rsidR="00505389" w:rsidRPr="007061E6">
            <w:rPr>
              <w:rFonts w:asciiTheme="majorHAnsi" w:hAnsiTheme="majorHAnsi"/>
            </w:rPr>
            <w:t xml:space="preserve">     </w:t>
          </w:r>
        </w:sdtContent>
      </w:sdt>
      <w:r w:rsidRPr="007061E6">
        <w:rPr>
          <w:rFonts w:asciiTheme="majorHAnsi" w:eastAsia="Calibri" w:hAnsiTheme="majorHAnsi" w:cs="Calibri"/>
        </w:rPr>
        <w:t xml:space="preserve">i capitoli del Piano: </w:t>
      </w:r>
    </w:p>
    <w:p w14:paraId="73198805" w14:textId="77777777" w:rsidR="009A4F8F" w:rsidRPr="007061E6" w:rsidRDefault="00614CD8" w:rsidP="00EC4408">
      <w:pPr>
        <w:numPr>
          <w:ilvl w:val="0"/>
          <w:numId w:val="4"/>
        </w:numPr>
        <w:pBdr>
          <w:top w:val="nil"/>
          <w:left w:val="nil"/>
          <w:bottom w:val="nil"/>
          <w:right w:val="nil"/>
          <w:between w:val="nil"/>
        </w:pBdr>
        <w:spacing w:line="259" w:lineRule="auto"/>
        <w:jc w:val="both"/>
        <w:rPr>
          <w:rFonts w:asciiTheme="majorHAnsi" w:eastAsia="Calibri" w:hAnsiTheme="majorHAnsi" w:cs="Calibri"/>
        </w:rPr>
      </w:pPr>
      <w:bookmarkStart w:id="23" w:name="_heading=h.lindqv9jkczs" w:colFirst="0" w:colLast="0"/>
      <w:bookmarkEnd w:id="23"/>
      <w:r w:rsidRPr="007061E6">
        <w:rPr>
          <w:rFonts w:asciiTheme="majorHAnsi" w:eastAsia="Calibri" w:hAnsiTheme="majorHAnsi" w:cs="Calibri"/>
        </w:rPr>
        <w:t xml:space="preserve">Competenze: trattandosi di un “salto tecnologico” da implementare in un periodo relativamente breve, occorre supportare quanto prima la riqualificazione delle competenze dell’intero capitale umano coinvolto nella filiera. </w:t>
      </w:r>
      <w:r w:rsidR="008434F7" w:rsidRPr="007061E6">
        <w:rPr>
          <w:rFonts w:asciiTheme="majorHAnsi" w:eastAsia="Calibri" w:hAnsiTheme="majorHAnsi" w:cs="Calibri"/>
        </w:rPr>
        <w:t>Una tale riconversione</w:t>
      </w:r>
      <w:r w:rsidRPr="007061E6">
        <w:rPr>
          <w:rFonts w:asciiTheme="majorHAnsi" w:eastAsia="Calibri" w:hAnsiTheme="majorHAnsi" w:cs="Calibri"/>
        </w:rPr>
        <w:t xml:space="preserve"> deve essere sostenuta in primis dai </w:t>
      </w:r>
      <w:r w:rsidRPr="007061E6">
        <w:rPr>
          <w:rFonts w:asciiTheme="majorHAnsi" w:eastAsia="Calibri" w:hAnsiTheme="majorHAnsi" w:cs="Calibri"/>
        </w:rPr>
        <w:lastRenderedPageBreak/>
        <w:t xml:space="preserve">costruttori e dai primi fornitori, per poi trasferire le competenze acquisite in materia alla catena dei rivenditori e riparatori. A tale fine si chiede di integrare il piano Transizione 4.0 con voci per la formazione per l’elettrificazione, in particolare uniformando l’aliquota di agevolazione relativa al credito d’imposta per l’intera filiera del veicolo elettrico al 50% e consentendo il trasferimento del beneficio fiscale tra </w:t>
      </w:r>
      <w:r w:rsidR="008434F7" w:rsidRPr="008434F7">
        <w:rPr>
          <w:rFonts w:asciiTheme="majorHAnsi" w:eastAsia="Calibri" w:hAnsiTheme="majorHAnsi" w:cs="Calibri"/>
          <w:i/>
          <w:iCs/>
        </w:rPr>
        <w:t>l</w:t>
      </w:r>
      <w:r w:rsidRPr="008434F7">
        <w:rPr>
          <w:rFonts w:asciiTheme="majorHAnsi" w:eastAsia="Calibri" w:hAnsiTheme="majorHAnsi" w:cs="Calibri"/>
          <w:i/>
          <w:iCs/>
        </w:rPr>
        <w:t xml:space="preserve">egal </w:t>
      </w:r>
      <w:r w:rsidR="008434F7" w:rsidRPr="008434F7">
        <w:rPr>
          <w:rFonts w:asciiTheme="majorHAnsi" w:eastAsia="Calibri" w:hAnsiTheme="majorHAnsi" w:cs="Calibri"/>
          <w:i/>
          <w:iCs/>
        </w:rPr>
        <w:t>e</w:t>
      </w:r>
      <w:r w:rsidRPr="008434F7">
        <w:rPr>
          <w:rFonts w:asciiTheme="majorHAnsi" w:eastAsia="Calibri" w:hAnsiTheme="majorHAnsi" w:cs="Calibri"/>
          <w:i/>
          <w:iCs/>
        </w:rPr>
        <w:t>ntities</w:t>
      </w:r>
      <w:r w:rsidRPr="007061E6">
        <w:rPr>
          <w:rFonts w:asciiTheme="majorHAnsi" w:eastAsia="Calibri" w:hAnsiTheme="majorHAnsi" w:cs="Calibri"/>
        </w:rPr>
        <w:t xml:space="preserve"> riconducibili alla medesima società controllante, in caso di progetti unitari di formazione. Si può essere ambiziosi e puntare a raggiungere con offerte formative durante il periodo di spesa del PNRR circa 55.000 addetti della produzione di veicoli e componentistica e 40.000 addetti del comparto post-sales e riparazioni.</w:t>
      </w:r>
    </w:p>
    <w:p w14:paraId="358427A5" w14:textId="77777777" w:rsidR="009A4F8F" w:rsidRPr="007061E6" w:rsidRDefault="00614CD8" w:rsidP="00EC4408">
      <w:pPr>
        <w:numPr>
          <w:ilvl w:val="0"/>
          <w:numId w:val="4"/>
        </w:numPr>
        <w:pBdr>
          <w:top w:val="nil"/>
          <w:left w:val="nil"/>
          <w:bottom w:val="nil"/>
          <w:right w:val="nil"/>
          <w:between w:val="nil"/>
        </w:pBdr>
        <w:spacing w:after="160" w:line="259" w:lineRule="auto"/>
        <w:jc w:val="both"/>
        <w:rPr>
          <w:rFonts w:asciiTheme="majorHAnsi" w:eastAsia="Calibri" w:hAnsiTheme="majorHAnsi" w:cs="Calibri"/>
        </w:rPr>
      </w:pPr>
      <w:bookmarkStart w:id="24" w:name="_heading=h.ies4w18oyzbf" w:colFirst="0" w:colLast="0"/>
      <w:bookmarkEnd w:id="24"/>
      <w:r w:rsidRPr="007061E6">
        <w:rPr>
          <w:rFonts w:asciiTheme="majorHAnsi" w:eastAsia="Calibri" w:hAnsiTheme="majorHAnsi" w:cs="Calibri"/>
        </w:rPr>
        <w:t xml:space="preserve">Crediti di imposta per innovazione tecnologica e R&amp;D: sarà necessario sostenere la transizione di un ecosistema fatto di tante piccole e medie imprese, TIER 2 e 3 soprattutto, che avranno bisogno di puntare soprattutto sull’innovazione di prodotto più che di processo. Si propone quindi di aumentare le percentuali di copertura dell’investimento con credito di imposta dal 20 al 30% per ricerca e innovazione, dal 10 al 35% per l’innovazione tecnologica e dal 15 al 20% per gli investimenti in design ed estetica di prodotto. </w:t>
      </w:r>
    </w:p>
    <w:p w14:paraId="29F1BA49" w14:textId="77777777" w:rsidR="008434F7" w:rsidRDefault="008434F7">
      <w:pPr>
        <w:rPr>
          <w:rFonts w:asciiTheme="majorHAnsi" w:eastAsia="Calibri" w:hAnsiTheme="majorHAnsi" w:cs="Calibri"/>
        </w:rPr>
      </w:pPr>
      <w:bookmarkStart w:id="25" w:name="_heading=h.k3scxy98uequ" w:colFirst="0" w:colLast="0"/>
      <w:bookmarkEnd w:id="25"/>
      <w:r>
        <w:rPr>
          <w:rFonts w:asciiTheme="majorHAnsi" w:eastAsia="Calibri" w:hAnsiTheme="majorHAnsi" w:cs="Calibri"/>
        </w:rPr>
        <w:br w:type="page"/>
      </w:r>
    </w:p>
    <w:p w14:paraId="39845817" w14:textId="77777777" w:rsidR="009A4F8F" w:rsidRPr="007061E6" w:rsidRDefault="00614CD8">
      <w:pPr>
        <w:spacing w:after="160" w:line="259" w:lineRule="auto"/>
        <w:jc w:val="both"/>
        <w:rPr>
          <w:rFonts w:asciiTheme="majorHAnsi" w:hAnsiTheme="majorHAnsi"/>
          <w:b/>
        </w:rPr>
      </w:pPr>
      <w:r w:rsidRPr="007061E6">
        <w:rPr>
          <w:rFonts w:asciiTheme="majorHAnsi" w:hAnsiTheme="majorHAnsi"/>
          <w:b/>
        </w:rPr>
        <w:lastRenderedPageBreak/>
        <w:t>Le altre misure per l’Offerta</w:t>
      </w:r>
    </w:p>
    <w:p w14:paraId="25342E78" w14:textId="77777777" w:rsidR="009A4F8F" w:rsidRPr="007061E6" w:rsidRDefault="00614CD8">
      <w:pPr>
        <w:spacing w:after="160" w:line="259" w:lineRule="auto"/>
        <w:jc w:val="both"/>
        <w:rPr>
          <w:rFonts w:asciiTheme="majorHAnsi" w:hAnsiTheme="majorHAnsi"/>
          <w:b/>
        </w:rPr>
      </w:pPr>
      <w:bookmarkStart w:id="26" w:name="_heading=h.u9he8fcp3w" w:colFirst="0" w:colLast="0"/>
      <w:bookmarkEnd w:id="26"/>
      <w:r w:rsidRPr="007061E6">
        <w:rPr>
          <w:rFonts w:asciiTheme="majorHAnsi" w:eastAsia="Calibri" w:hAnsiTheme="majorHAnsi" w:cs="Calibri"/>
        </w:rPr>
        <w:t xml:space="preserve">Altre misure importanti per l’industria italiana e la sua trasformazione sono state individuate innanzitutto nel raddoppio del fondo per la </w:t>
      </w:r>
      <w:r w:rsidRPr="007061E6">
        <w:rPr>
          <w:rFonts w:asciiTheme="majorHAnsi" w:eastAsia="Calibri" w:hAnsiTheme="majorHAnsi" w:cs="Calibri"/>
          <w:b/>
        </w:rPr>
        <w:t>creazione di linee produttive di autobus elettrici in Italia</w:t>
      </w:r>
      <w:r w:rsidRPr="007061E6">
        <w:rPr>
          <w:rFonts w:asciiTheme="majorHAnsi" w:eastAsia="Calibri" w:hAnsiTheme="majorHAnsi" w:cs="Calibri"/>
        </w:rPr>
        <w:t xml:space="preserve"> (Misura O.3), al fine di intercettare l’importante sostegno al ricambio dei mezzi rappresentato dal PSNMS; tuttavia sarà necessario, al fine di attrarre investimenti produttivi nel settore, modificare i contratti di sviluppo eliminando i requisiti di localizzazione dell’impianto nonché innalzando le percentuali di cofinanziamento. In secondo luogo, con la Misura O.4, si inquadra un importante investimento nello sviluppo di competenze di altro livello e del trasferimento delle stesse in ambito aziendale attraverso il </w:t>
      </w:r>
      <w:r w:rsidRPr="007061E6">
        <w:rPr>
          <w:rFonts w:asciiTheme="majorHAnsi" w:eastAsia="Calibri" w:hAnsiTheme="majorHAnsi" w:cs="Calibri"/>
          <w:b/>
        </w:rPr>
        <w:t>finanziamento di dottorati mirati alle discipline industriali e focalizzati sulla mobilità elettrica e la digitalizzazione</w:t>
      </w:r>
      <w:r w:rsidRPr="007061E6">
        <w:rPr>
          <w:rFonts w:asciiTheme="majorHAnsi" w:eastAsia="Calibri" w:hAnsiTheme="majorHAnsi" w:cs="Calibri"/>
        </w:rPr>
        <w:t>. Con la Misura O.5 invece si propone di stanziare 300 milioni di euro per l’integrazione della mobilità elettrica nell’</w:t>
      </w:r>
      <w:r w:rsidRPr="007061E6">
        <w:rPr>
          <w:rFonts w:asciiTheme="majorHAnsi" w:eastAsia="Calibri" w:hAnsiTheme="majorHAnsi" w:cs="Calibri"/>
          <w:b/>
        </w:rPr>
        <w:t>offerta formativa nell’ambito delle politiche attive per l’occupazione e i centri per l’impiego</w:t>
      </w:r>
      <w:r w:rsidRPr="007061E6">
        <w:rPr>
          <w:rFonts w:asciiTheme="majorHAnsi" w:eastAsia="Calibri" w:hAnsiTheme="majorHAnsi" w:cs="Calibri"/>
        </w:rPr>
        <w:t xml:space="preserve">. Sempre sulla formazione con la Misura O.6 si intendono stanziare 80 milioni di euro per la creazione di almeno 1 </w:t>
      </w:r>
      <w:r w:rsidRPr="007061E6">
        <w:rPr>
          <w:rFonts w:asciiTheme="majorHAnsi" w:eastAsia="Calibri" w:hAnsiTheme="majorHAnsi" w:cs="Calibri"/>
          <w:b/>
        </w:rPr>
        <w:t xml:space="preserve">percorso formativo sulla mobilità elettrica in almeno 1 ITS per ciascuna provincia </w:t>
      </w:r>
      <w:r w:rsidR="008434F7" w:rsidRPr="007061E6">
        <w:rPr>
          <w:rFonts w:asciiTheme="majorHAnsi" w:eastAsia="Calibri" w:hAnsiTheme="majorHAnsi" w:cs="Calibri"/>
          <w:b/>
        </w:rPr>
        <w:t>italiana</w:t>
      </w:r>
      <w:r w:rsidRPr="007061E6">
        <w:rPr>
          <w:rFonts w:asciiTheme="majorHAnsi" w:eastAsia="Calibri" w:hAnsiTheme="majorHAnsi" w:cs="Calibri"/>
        </w:rPr>
        <w:t xml:space="preserve">, al fine di formare più di 8000 tecnici specializzati </w:t>
      </w:r>
      <w:r w:rsidR="00C8641A" w:rsidRPr="007061E6">
        <w:rPr>
          <w:rFonts w:asciiTheme="majorHAnsi" w:eastAsia="Calibri" w:hAnsiTheme="majorHAnsi" w:cs="Calibri"/>
        </w:rPr>
        <w:t>neodiplomati</w:t>
      </w:r>
      <w:r w:rsidRPr="007061E6">
        <w:rPr>
          <w:rFonts w:asciiTheme="majorHAnsi" w:eastAsia="Calibri" w:hAnsiTheme="majorHAnsi" w:cs="Calibri"/>
        </w:rPr>
        <w:t xml:space="preserve"> già nel 2026. Si propone infine di investire circa 800 milioni di euro, con la Misura O.7, sia per potenziare l’attuale </w:t>
      </w:r>
      <w:r w:rsidRPr="007061E6">
        <w:rPr>
          <w:rFonts w:asciiTheme="majorHAnsi" w:eastAsia="Calibri" w:hAnsiTheme="majorHAnsi" w:cs="Calibri"/>
          <w:b/>
        </w:rPr>
        <w:t>dotazione dei fondi di Cassa Depositi e Prestiti per raggiungere più di 200 start-up e imprese innovative</w:t>
      </w:r>
      <w:r w:rsidRPr="007061E6">
        <w:rPr>
          <w:rFonts w:asciiTheme="majorHAnsi" w:eastAsia="Calibri" w:hAnsiTheme="majorHAnsi" w:cs="Calibri"/>
        </w:rPr>
        <w:t xml:space="preserve">, nell’ambito dell’elettrificazione dei mezzi e delle infrastrutture e servizi connessi, sia per creare due Consorzi R&amp;D su digitalizzazione e batterie, potenziando e rendendo davvero efficace l’Italian Battery Alliance di recente costituzione.    </w:t>
      </w:r>
    </w:p>
    <w:p w14:paraId="5DE76957" w14:textId="77777777" w:rsidR="00910462" w:rsidRPr="007061E6" w:rsidRDefault="00910462">
      <w:pPr>
        <w:rPr>
          <w:rFonts w:asciiTheme="majorHAnsi" w:eastAsia="Calibri" w:hAnsiTheme="majorHAnsi" w:cs="Calibri"/>
        </w:rPr>
      </w:pPr>
      <w:bookmarkStart w:id="27" w:name="_heading=h.711rg947rxph" w:colFirst="0" w:colLast="0"/>
      <w:bookmarkEnd w:id="27"/>
      <w:r w:rsidRPr="007061E6">
        <w:rPr>
          <w:rFonts w:asciiTheme="majorHAnsi" w:eastAsia="Calibri" w:hAnsiTheme="majorHAnsi" w:cs="Calibri"/>
        </w:rPr>
        <w:br w:type="page"/>
      </w:r>
    </w:p>
    <w:p w14:paraId="11C10DD8" w14:textId="77777777" w:rsidR="009A4F8F" w:rsidRPr="007061E6" w:rsidRDefault="00910462" w:rsidP="00910462">
      <w:pPr>
        <w:pStyle w:val="Titolo1"/>
        <w:rPr>
          <w:rFonts w:asciiTheme="majorHAnsi" w:hAnsiTheme="majorHAnsi"/>
        </w:rPr>
      </w:pPr>
      <w:bookmarkStart w:id="28" w:name="_heading=h.qsh70q" w:colFirst="0" w:colLast="0"/>
      <w:bookmarkStart w:id="29" w:name="_Toc60993398"/>
      <w:bookmarkEnd w:id="28"/>
      <w:r w:rsidRPr="007061E6">
        <w:rPr>
          <w:rFonts w:asciiTheme="majorHAnsi" w:hAnsiTheme="majorHAnsi"/>
        </w:rPr>
        <w:lastRenderedPageBreak/>
        <w:t xml:space="preserve">4. </w:t>
      </w:r>
      <w:r w:rsidR="00614CD8" w:rsidRPr="007061E6">
        <w:rPr>
          <w:rFonts w:asciiTheme="majorHAnsi" w:hAnsiTheme="majorHAnsi"/>
        </w:rPr>
        <w:t>RISORSE DA INDIRIZZARE</w:t>
      </w:r>
      <w:bookmarkEnd w:id="29"/>
    </w:p>
    <w:sdt>
      <w:sdtPr>
        <w:rPr>
          <w:rFonts w:asciiTheme="majorHAnsi" w:hAnsiTheme="majorHAnsi"/>
        </w:rPr>
        <w:tag w:val="goog_rdk_43"/>
        <w:id w:val="1662966206"/>
      </w:sdtPr>
      <w:sdtEndPr/>
      <w:sdtContent>
        <w:p w14:paraId="363CC5C6" w14:textId="77777777" w:rsidR="009A4F8F" w:rsidRPr="007061E6" w:rsidRDefault="004A4FDC">
          <w:pPr>
            <w:rPr>
              <w:rFonts w:asciiTheme="majorHAnsi" w:hAnsiTheme="majorHAnsi"/>
            </w:rPr>
          </w:pPr>
          <w:sdt>
            <w:sdtPr>
              <w:rPr>
                <w:rFonts w:asciiTheme="majorHAnsi" w:hAnsiTheme="majorHAnsi"/>
              </w:rPr>
              <w:tag w:val="goog_rdk_42"/>
              <w:id w:val="-1247424242"/>
            </w:sdtPr>
            <w:sdtEndPr/>
            <w:sdtContent>
              <w:r w:rsidR="00614CD8" w:rsidRPr="007061E6">
                <w:rPr>
                  <w:rFonts w:asciiTheme="majorHAnsi" w:hAnsiTheme="majorHAnsi"/>
                </w:rPr>
                <w:t>Il valore complessivo delle risorse da indirizzare secondo la nostra proposta è di 17,</w:t>
              </w:r>
              <w:r w:rsidR="008434F7">
                <w:rPr>
                  <w:rFonts w:asciiTheme="majorHAnsi" w:hAnsiTheme="majorHAnsi"/>
                </w:rPr>
                <w:t>15</w:t>
              </w:r>
              <w:r w:rsidR="00614CD8" w:rsidRPr="007061E6">
                <w:rPr>
                  <w:rFonts w:asciiTheme="majorHAnsi" w:hAnsiTheme="majorHAnsi"/>
                </w:rPr>
                <w:t xml:space="preserve"> miliardi di euro e ripartita come da figura 1.</w:t>
              </w:r>
            </w:sdtContent>
          </w:sdt>
        </w:p>
      </w:sdtContent>
    </w:sdt>
    <w:sdt>
      <w:sdtPr>
        <w:rPr>
          <w:rFonts w:asciiTheme="majorHAnsi" w:hAnsiTheme="majorHAnsi"/>
        </w:rPr>
        <w:tag w:val="goog_rdk_45"/>
        <w:id w:val="-1075966290"/>
      </w:sdtPr>
      <w:sdtEndPr/>
      <w:sdtContent>
        <w:p w14:paraId="547C2082" w14:textId="0BAFFDD8" w:rsidR="009A4F8F" w:rsidRPr="007061E6" w:rsidRDefault="004A4FDC">
          <w:pPr>
            <w:rPr>
              <w:rFonts w:asciiTheme="majorHAnsi" w:hAnsiTheme="majorHAnsi"/>
            </w:rPr>
          </w:pPr>
          <w:sdt>
            <w:sdtPr>
              <w:rPr>
                <w:rFonts w:asciiTheme="majorHAnsi" w:hAnsiTheme="majorHAnsi"/>
              </w:rPr>
              <w:tag w:val="goog_rdk_44"/>
              <w:id w:val="-1178349483"/>
              <w:showingPlcHdr/>
            </w:sdtPr>
            <w:sdtEndPr/>
            <w:sdtContent>
              <w:r w:rsidR="005A65EF">
                <w:rPr>
                  <w:rFonts w:asciiTheme="majorHAnsi" w:hAnsiTheme="majorHAnsi"/>
                </w:rPr>
                <w:t xml:space="preserve">     </w:t>
              </w:r>
            </w:sdtContent>
          </w:sdt>
        </w:p>
      </w:sdtContent>
    </w:sdt>
    <w:sdt>
      <w:sdtPr>
        <w:rPr>
          <w:rFonts w:asciiTheme="majorHAnsi" w:hAnsiTheme="majorHAnsi"/>
        </w:rPr>
        <w:tag w:val="goog_rdk_47"/>
        <w:id w:val="-23098252"/>
      </w:sdtPr>
      <w:sdtEndPr/>
      <w:sdtContent>
        <w:sdt>
          <w:sdtPr>
            <w:rPr>
              <w:rFonts w:asciiTheme="majorHAnsi" w:hAnsiTheme="majorHAnsi"/>
            </w:rPr>
            <w:tag w:val="goog_rdk_46"/>
            <w:id w:val="1718389225"/>
          </w:sdtPr>
          <w:sdtEndPr/>
          <w:sdtContent>
            <w:p w14:paraId="38F8046D" w14:textId="77777777" w:rsidR="008434F7" w:rsidRDefault="00614CD8">
              <w:pPr>
                <w:jc w:val="center"/>
                <w:rPr>
                  <w:rFonts w:asciiTheme="majorHAnsi" w:hAnsiTheme="majorHAnsi"/>
                </w:rPr>
              </w:pPr>
              <w:r w:rsidRPr="007061E6">
                <w:rPr>
                  <w:rFonts w:asciiTheme="majorHAnsi" w:hAnsiTheme="majorHAnsi"/>
                </w:rPr>
                <w:t>Figura 1</w:t>
              </w:r>
            </w:p>
            <w:p w14:paraId="1DCEA457" w14:textId="77777777" w:rsidR="009A4F8F" w:rsidRPr="007061E6" w:rsidRDefault="004A4FDC">
              <w:pPr>
                <w:jc w:val="center"/>
                <w:rPr>
                  <w:rFonts w:asciiTheme="majorHAnsi" w:hAnsiTheme="majorHAnsi"/>
                </w:rPr>
              </w:pPr>
            </w:p>
          </w:sdtContent>
        </w:sdt>
      </w:sdtContent>
    </w:sdt>
    <w:p w14:paraId="1B834FCF" w14:textId="666B64F3" w:rsidR="009A4F8F" w:rsidRPr="007061E6" w:rsidRDefault="00F943BB" w:rsidP="002C2F35">
      <w:pPr>
        <w:jc w:val="center"/>
        <w:rPr>
          <w:rFonts w:asciiTheme="majorHAnsi" w:hAnsiTheme="majorHAnsi"/>
        </w:rPr>
      </w:pPr>
      <w:r>
        <w:rPr>
          <w:rFonts w:asciiTheme="majorHAnsi" w:hAnsiTheme="majorHAnsi"/>
          <w:noProof/>
        </w:rPr>
        <w:drawing>
          <wp:inline distT="0" distB="0" distL="0" distR="0" wp14:anchorId="7F498251" wp14:editId="33EECEDD">
            <wp:extent cx="4176604" cy="25050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6265" cy="2516867"/>
                    </a:xfrm>
                    <a:prstGeom prst="rect">
                      <a:avLst/>
                    </a:prstGeom>
                    <a:noFill/>
                  </pic:spPr>
                </pic:pic>
              </a:graphicData>
            </a:graphic>
          </wp:inline>
        </w:drawing>
      </w:r>
    </w:p>
    <w:sdt>
      <w:sdtPr>
        <w:rPr>
          <w:rFonts w:asciiTheme="majorHAnsi" w:hAnsiTheme="majorHAnsi"/>
        </w:rPr>
        <w:tag w:val="goog_rdk_57"/>
        <w:id w:val="-1879928416"/>
      </w:sdtPr>
      <w:sdtEndPr/>
      <w:sdtContent>
        <w:p w14:paraId="17998681" w14:textId="77777777" w:rsidR="009A4F8F" w:rsidRPr="007061E6" w:rsidRDefault="004A4FDC">
          <w:pPr>
            <w:jc w:val="center"/>
            <w:rPr>
              <w:rFonts w:asciiTheme="majorHAnsi" w:hAnsiTheme="majorHAnsi"/>
            </w:rPr>
          </w:pPr>
          <w:sdt>
            <w:sdtPr>
              <w:rPr>
                <w:rFonts w:asciiTheme="majorHAnsi" w:hAnsiTheme="majorHAnsi"/>
              </w:rPr>
              <w:tag w:val="goog_rdk_56"/>
              <w:id w:val="473572180"/>
              <w:showingPlcHdr/>
            </w:sdtPr>
            <w:sdtEndPr/>
            <w:sdtContent>
              <w:r w:rsidR="002C2F35" w:rsidRPr="007061E6">
                <w:rPr>
                  <w:rFonts w:asciiTheme="majorHAnsi" w:hAnsiTheme="majorHAnsi"/>
                </w:rPr>
                <w:t xml:space="preserve">     </w:t>
              </w:r>
            </w:sdtContent>
          </w:sdt>
        </w:p>
      </w:sdtContent>
    </w:sdt>
    <w:sdt>
      <w:sdtPr>
        <w:rPr>
          <w:rFonts w:asciiTheme="majorHAnsi" w:hAnsiTheme="majorHAnsi"/>
        </w:rPr>
        <w:tag w:val="goog_rdk_59"/>
        <w:id w:val="-798221364"/>
      </w:sdtPr>
      <w:sdtEndPr/>
      <w:sdtContent>
        <w:p w14:paraId="77C9AF38" w14:textId="77777777" w:rsidR="009A4F8F" w:rsidRPr="007061E6" w:rsidRDefault="004A4FDC" w:rsidP="007061E6">
          <w:pPr>
            <w:jc w:val="both"/>
            <w:rPr>
              <w:rFonts w:asciiTheme="majorHAnsi" w:hAnsiTheme="majorHAnsi"/>
            </w:rPr>
          </w:pPr>
          <w:sdt>
            <w:sdtPr>
              <w:rPr>
                <w:rFonts w:asciiTheme="majorHAnsi" w:hAnsiTheme="majorHAnsi"/>
              </w:rPr>
              <w:tag w:val="goog_rdk_58"/>
              <w:id w:val="-205411889"/>
            </w:sdtPr>
            <w:sdtEndPr/>
            <w:sdtContent>
              <w:r w:rsidR="00614CD8" w:rsidRPr="007061E6">
                <w:rPr>
                  <w:rFonts w:asciiTheme="majorHAnsi" w:hAnsiTheme="majorHAnsi"/>
                </w:rPr>
                <w:t>In Figura 2, 3 e 4 rispettivamente la ripartizione delle risorse sulle misure relative alla domanda, alle infrastrutture di ricarica e all’offerta.</w:t>
              </w:r>
            </w:sdtContent>
          </w:sdt>
        </w:p>
      </w:sdtContent>
    </w:sdt>
    <w:sdt>
      <w:sdtPr>
        <w:rPr>
          <w:rFonts w:asciiTheme="majorHAnsi" w:hAnsiTheme="majorHAnsi"/>
        </w:rPr>
        <w:tag w:val="goog_rdk_61"/>
        <w:id w:val="-737009625"/>
      </w:sdtPr>
      <w:sdtEndPr/>
      <w:sdtContent>
        <w:p w14:paraId="0F53E591" w14:textId="77777777" w:rsidR="009A4F8F" w:rsidRPr="007061E6" w:rsidRDefault="004A4FDC">
          <w:pPr>
            <w:jc w:val="center"/>
            <w:rPr>
              <w:rFonts w:asciiTheme="majorHAnsi" w:hAnsiTheme="majorHAnsi"/>
            </w:rPr>
          </w:pPr>
          <w:sdt>
            <w:sdtPr>
              <w:rPr>
                <w:rFonts w:asciiTheme="majorHAnsi" w:hAnsiTheme="majorHAnsi"/>
              </w:rPr>
              <w:tag w:val="goog_rdk_60"/>
              <w:id w:val="-1140951688"/>
              <w:showingPlcHdr/>
            </w:sdtPr>
            <w:sdtEndPr/>
            <w:sdtContent>
              <w:r w:rsidR="008434F7">
                <w:rPr>
                  <w:rFonts w:asciiTheme="majorHAnsi" w:hAnsiTheme="majorHAnsi"/>
                </w:rPr>
                <w:t xml:space="preserve">     </w:t>
              </w:r>
            </w:sdtContent>
          </w:sdt>
        </w:p>
      </w:sdtContent>
    </w:sdt>
    <w:sdt>
      <w:sdtPr>
        <w:rPr>
          <w:rFonts w:asciiTheme="majorHAnsi" w:hAnsiTheme="majorHAnsi"/>
        </w:rPr>
        <w:tag w:val="goog_rdk_63"/>
        <w:id w:val="-2094918999"/>
      </w:sdtPr>
      <w:sdtEndPr/>
      <w:sdtContent>
        <w:sdt>
          <w:sdtPr>
            <w:rPr>
              <w:rFonts w:asciiTheme="majorHAnsi" w:hAnsiTheme="majorHAnsi"/>
            </w:rPr>
            <w:tag w:val="goog_rdk_62"/>
            <w:id w:val="-724991715"/>
          </w:sdtPr>
          <w:sdtEndPr/>
          <w:sdtContent>
            <w:p w14:paraId="209AA6A6" w14:textId="77777777" w:rsidR="008434F7" w:rsidRDefault="00614CD8">
              <w:pPr>
                <w:jc w:val="center"/>
                <w:rPr>
                  <w:rFonts w:asciiTheme="majorHAnsi" w:hAnsiTheme="majorHAnsi"/>
                </w:rPr>
              </w:pPr>
              <w:r w:rsidRPr="007061E6">
                <w:rPr>
                  <w:rFonts w:asciiTheme="majorHAnsi" w:hAnsiTheme="majorHAnsi"/>
                </w:rPr>
                <w:t>Figura 2</w:t>
              </w:r>
            </w:p>
            <w:p w14:paraId="67F7DFE8" w14:textId="77777777" w:rsidR="009A4F8F" w:rsidRPr="007061E6" w:rsidRDefault="004A4FDC">
              <w:pPr>
                <w:jc w:val="center"/>
                <w:rPr>
                  <w:rFonts w:asciiTheme="majorHAnsi" w:hAnsiTheme="majorHAnsi"/>
                </w:rPr>
              </w:pPr>
            </w:p>
          </w:sdtContent>
        </w:sdt>
      </w:sdtContent>
    </w:sdt>
    <w:p w14:paraId="2B55AA90" w14:textId="6FF1C55E" w:rsidR="009A4F8F" w:rsidRPr="007061E6" w:rsidRDefault="00F943BB">
      <w:pPr>
        <w:jc w:val="center"/>
        <w:rPr>
          <w:rFonts w:asciiTheme="majorHAnsi" w:hAnsiTheme="majorHAnsi"/>
        </w:rPr>
      </w:pPr>
      <w:r>
        <w:rPr>
          <w:rFonts w:asciiTheme="majorHAnsi" w:hAnsiTheme="majorHAnsi"/>
          <w:noProof/>
        </w:rPr>
        <w:drawing>
          <wp:inline distT="0" distB="0" distL="0" distR="0" wp14:anchorId="280DCA38" wp14:editId="0111B7B2">
            <wp:extent cx="4212447" cy="2609215"/>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3798" cy="2622440"/>
                    </a:xfrm>
                    <a:prstGeom prst="rect">
                      <a:avLst/>
                    </a:prstGeom>
                    <a:noFill/>
                  </pic:spPr>
                </pic:pic>
              </a:graphicData>
            </a:graphic>
          </wp:inline>
        </w:drawing>
      </w:r>
      <w:r>
        <w:rPr>
          <w:rFonts w:asciiTheme="majorHAnsi" w:hAnsiTheme="majorHAnsi"/>
        </w:rPr>
        <w:t xml:space="preserve"> </w:t>
      </w:r>
      <w:sdt>
        <w:sdtPr>
          <w:rPr>
            <w:rFonts w:asciiTheme="majorHAnsi" w:hAnsiTheme="majorHAnsi"/>
          </w:rPr>
          <w:tag w:val="goog_rdk_65"/>
          <w:id w:val="784401438"/>
        </w:sdtPr>
        <w:sdtEndPr/>
        <w:sdtContent>
          <w:sdt>
            <w:sdtPr>
              <w:rPr>
                <w:rFonts w:asciiTheme="majorHAnsi" w:hAnsiTheme="majorHAnsi"/>
              </w:rPr>
              <w:tag w:val="goog_rdk_64"/>
              <w:id w:val="539480880"/>
              <w:showingPlcHdr/>
            </w:sdtPr>
            <w:sdtEndPr/>
            <w:sdtContent>
              <w:r>
                <w:rPr>
                  <w:rFonts w:asciiTheme="majorHAnsi" w:hAnsiTheme="majorHAnsi"/>
                </w:rPr>
                <w:t xml:space="preserve">     </w:t>
              </w:r>
            </w:sdtContent>
          </w:sdt>
        </w:sdtContent>
      </w:sdt>
    </w:p>
    <w:sdt>
      <w:sdtPr>
        <w:rPr>
          <w:rFonts w:asciiTheme="majorHAnsi" w:hAnsiTheme="majorHAnsi"/>
        </w:rPr>
        <w:tag w:val="goog_rdk_69"/>
        <w:id w:val="1051191275"/>
      </w:sdtPr>
      <w:sdtEndPr/>
      <w:sdtContent>
        <w:sdt>
          <w:sdtPr>
            <w:rPr>
              <w:rFonts w:asciiTheme="majorHAnsi" w:hAnsiTheme="majorHAnsi"/>
            </w:rPr>
            <w:tag w:val="goog_rdk_68"/>
            <w:id w:val="-1020773088"/>
          </w:sdtPr>
          <w:sdtEndPr/>
          <w:sdtContent>
            <w:p w14:paraId="10DD5952" w14:textId="77777777" w:rsidR="00F943BB" w:rsidRDefault="00F943BB">
              <w:pPr>
                <w:jc w:val="center"/>
                <w:rPr>
                  <w:rFonts w:asciiTheme="majorHAnsi" w:hAnsiTheme="majorHAnsi"/>
                </w:rPr>
              </w:pPr>
            </w:p>
            <w:p w14:paraId="107D23A4" w14:textId="6B82B818" w:rsidR="008434F7" w:rsidRDefault="00614CD8">
              <w:pPr>
                <w:jc w:val="center"/>
                <w:rPr>
                  <w:rFonts w:asciiTheme="majorHAnsi" w:hAnsiTheme="majorHAnsi"/>
                </w:rPr>
              </w:pPr>
              <w:r w:rsidRPr="007061E6">
                <w:rPr>
                  <w:rFonts w:asciiTheme="majorHAnsi" w:hAnsiTheme="majorHAnsi"/>
                </w:rPr>
                <w:lastRenderedPageBreak/>
                <w:t>Figura 3</w:t>
              </w:r>
            </w:p>
            <w:p w14:paraId="2BCD0F70" w14:textId="77777777" w:rsidR="009A4F8F" w:rsidRPr="007061E6" w:rsidRDefault="004A4FDC">
              <w:pPr>
                <w:jc w:val="center"/>
                <w:rPr>
                  <w:rFonts w:asciiTheme="majorHAnsi" w:hAnsiTheme="majorHAnsi"/>
                </w:rPr>
              </w:pPr>
            </w:p>
          </w:sdtContent>
        </w:sdt>
      </w:sdtContent>
    </w:sdt>
    <w:p w14:paraId="74D612C0" w14:textId="2C90D8D4" w:rsidR="009A4F8F" w:rsidRPr="007061E6" w:rsidRDefault="00F943BB">
      <w:pPr>
        <w:jc w:val="center"/>
        <w:rPr>
          <w:rFonts w:asciiTheme="majorHAnsi" w:hAnsiTheme="majorHAnsi"/>
        </w:rPr>
      </w:pPr>
      <w:r>
        <w:rPr>
          <w:rFonts w:asciiTheme="majorHAnsi" w:hAnsiTheme="majorHAnsi"/>
          <w:noProof/>
        </w:rPr>
        <w:drawing>
          <wp:inline distT="0" distB="0" distL="0" distR="0" wp14:anchorId="77A97DFC" wp14:editId="19DA4CCC">
            <wp:extent cx="4152900" cy="2288552"/>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2924" cy="2310608"/>
                    </a:xfrm>
                    <a:prstGeom prst="rect">
                      <a:avLst/>
                    </a:prstGeom>
                    <a:noFill/>
                  </pic:spPr>
                </pic:pic>
              </a:graphicData>
            </a:graphic>
          </wp:inline>
        </w:drawing>
      </w:r>
    </w:p>
    <w:sdt>
      <w:sdtPr>
        <w:rPr>
          <w:rFonts w:asciiTheme="majorHAnsi" w:hAnsiTheme="majorHAnsi"/>
        </w:rPr>
        <w:tag w:val="goog_rdk_73"/>
        <w:id w:val="1983806509"/>
      </w:sdtPr>
      <w:sdtEndPr/>
      <w:sdtContent>
        <w:p w14:paraId="539A5280" w14:textId="77777777" w:rsidR="009A4F8F" w:rsidRPr="007061E6" w:rsidRDefault="004A4FDC" w:rsidP="00794926">
          <w:pPr>
            <w:jc w:val="center"/>
            <w:rPr>
              <w:rFonts w:asciiTheme="majorHAnsi" w:hAnsiTheme="majorHAnsi"/>
            </w:rPr>
          </w:pPr>
          <w:sdt>
            <w:sdtPr>
              <w:rPr>
                <w:rFonts w:asciiTheme="majorHAnsi" w:hAnsiTheme="majorHAnsi"/>
              </w:rPr>
              <w:tag w:val="goog_rdk_72"/>
              <w:id w:val="1418053328"/>
              <w:showingPlcHdr/>
            </w:sdtPr>
            <w:sdtEndPr/>
            <w:sdtContent>
              <w:r w:rsidR="008434F7">
                <w:rPr>
                  <w:rFonts w:asciiTheme="majorHAnsi" w:hAnsiTheme="majorHAnsi"/>
                </w:rPr>
                <w:t xml:space="preserve">     </w:t>
              </w:r>
            </w:sdtContent>
          </w:sdt>
        </w:p>
      </w:sdtContent>
    </w:sdt>
    <w:sdt>
      <w:sdtPr>
        <w:rPr>
          <w:rFonts w:asciiTheme="majorHAnsi" w:hAnsiTheme="majorHAnsi"/>
        </w:rPr>
        <w:tag w:val="goog_rdk_79"/>
        <w:id w:val="2090574020"/>
      </w:sdtPr>
      <w:sdtEndPr/>
      <w:sdtContent>
        <w:p w14:paraId="625BD0FD" w14:textId="77777777" w:rsidR="009A4F8F" w:rsidRPr="007061E6" w:rsidRDefault="004A4FDC">
          <w:pPr>
            <w:jc w:val="center"/>
            <w:rPr>
              <w:rFonts w:asciiTheme="majorHAnsi" w:hAnsiTheme="majorHAnsi"/>
            </w:rPr>
          </w:pPr>
          <w:sdt>
            <w:sdtPr>
              <w:rPr>
                <w:rFonts w:asciiTheme="majorHAnsi" w:hAnsiTheme="majorHAnsi"/>
              </w:rPr>
              <w:tag w:val="goog_rdk_78"/>
              <w:id w:val="-1607038491"/>
              <w:showingPlcHdr/>
            </w:sdtPr>
            <w:sdtEndPr/>
            <w:sdtContent>
              <w:r w:rsidR="00794926" w:rsidRPr="007061E6">
                <w:rPr>
                  <w:rFonts w:asciiTheme="majorHAnsi" w:hAnsiTheme="majorHAnsi"/>
                </w:rPr>
                <w:t xml:space="preserve">     </w:t>
              </w:r>
            </w:sdtContent>
          </w:sdt>
        </w:p>
      </w:sdtContent>
    </w:sdt>
    <w:sdt>
      <w:sdtPr>
        <w:rPr>
          <w:rFonts w:asciiTheme="majorHAnsi" w:hAnsiTheme="majorHAnsi"/>
        </w:rPr>
        <w:tag w:val="goog_rdk_81"/>
        <w:id w:val="909976104"/>
      </w:sdtPr>
      <w:sdtEndPr/>
      <w:sdtContent>
        <w:sdt>
          <w:sdtPr>
            <w:rPr>
              <w:rFonts w:asciiTheme="majorHAnsi" w:hAnsiTheme="majorHAnsi"/>
            </w:rPr>
            <w:tag w:val="goog_rdk_80"/>
            <w:id w:val="-461657780"/>
          </w:sdtPr>
          <w:sdtEndPr/>
          <w:sdtContent>
            <w:p w14:paraId="776D679A" w14:textId="77777777" w:rsidR="008434F7" w:rsidRDefault="00614CD8">
              <w:pPr>
                <w:jc w:val="center"/>
                <w:rPr>
                  <w:rFonts w:asciiTheme="majorHAnsi" w:hAnsiTheme="majorHAnsi"/>
                </w:rPr>
              </w:pPr>
              <w:r w:rsidRPr="007061E6">
                <w:rPr>
                  <w:rFonts w:asciiTheme="majorHAnsi" w:hAnsiTheme="majorHAnsi"/>
                </w:rPr>
                <w:t>Figura 4</w:t>
              </w:r>
            </w:p>
            <w:p w14:paraId="3B2C7C27" w14:textId="77777777" w:rsidR="009A4F8F" w:rsidRPr="007061E6" w:rsidRDefault="004A4FDC">
              <w:pPr>
                <w:jc w:val="center"/>
                <w:rPr>
                  <w:rFonts w:asciiTheme="majorHAnsi" w:hAnsiTheme="majorHAnsi"/>
                </w:rPr>
              </w:pPr>
            </w:p>
          </w:sdtContent>
        </w:sdt>
      </w:sdtContent>
    </w:sdt>
    <w:sdt>
      <w:sdtPr>
        <w:rPr>
          <w:rFonts w:asciiTheme="majorHAnsi" w:hAnsiTheme="majorHAnsi"/>
        </w:rPr>
        <w:tag w:val="goog_rdk_83"/>
        <w:id w:val="-2041039142"/>
      </w:sdtPr>
      <w:sdtEndPr/>
      <w:sdtContent>
        <w:p w14:paraId="34A3ABBA" w14:textId="77777777" w:rsidR="009A4F8F" w:rsidRPr="007061E6" w:rsidRDefault="004A4FDC">
          <w:pPr>
            <w:jc w:val="center"/>
            <w:rPr>
              <w:rFonts w:asciiTheme="majorHAnsi" w:hAnsiTheme="majorHAnsi"/>
            </w:rPr>
          </w:pPr>
          <w:sdt>
            <w:sdtPr>
              <w:rPr>
                <w:rFonts w:asciiTheme="majorHAnsi" w:hAnsiTheme="majorHAnsi"/>
              </w:rPr>
              <w:tag w:val="goog_rdk_82"/>
              <w:id w:val="-1375993040"/>
            </w:sdtPr>
            <w:sdtEndPr/>
            <w:sdtContent>
              <w:r w:rsidR="00614CD8" w:rsidRPr="007061E6">
                <w:rPr>
                  <w:rFonts w:asciiTheme="majorHAnsi" w:hAnsiTheme="majorHAnsi"/>
                  <w:noProof/>
                </w:rPr>
                <w:drawing>
                  <wp:inline distT="114300" distB="114300" distL="114300" distR="114300" wp14:anchorId="511576E0" wp14:editId="752E8A90">
                    <wp:extent cx="4143375" cy="2620010"/>
                    <wp:effectExtent l="0" t="0" r="9525" b="889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143375" cy="2620010"/>
                            </a:xfrm>
                            <a:prstGeom prst="rect">
                              <a:avLst/>
                            </a:prstGeom>
                            <a:ln/>
                          </pic:spPr>
                        </pic:pic>
                      </a:graphicData>
                    </a:graphic>
                  </wp:inline>
                </w:drawing>
              </w:r>
            </w:sdtContent>
          </w:sdt>
        </w:p>
      </w:sdtContent>
    </w:sdt>
    <w:p w14:paraId="05FFC3F5" w14:textId="77777777" w:rsidR="002C2F35" w:rsidRPr="007061E6" w:rsidRDefault="002C2F35">
      <w:pPr>
        <w:rPr>
          <w:rFonts w:asciiTheme="majorHAnsi" w:hAnsiTheme="majorHAnsi"/>
        </w:rPr>
      </w:pPr>
      <w:r w:rsidRPr="007061E6">
        <w:rPr>
          <w:rFonts w:asciiTheme="majorHAnsi" w:hAnsiTheme="majorHAnsi"/>
        </w:rPr>
        <w:br w:type="page"/>
      </w:r>
    </w:p>
    <w:p w14:paraId="400D491F" w14:textId="77777777" w:rsidR="002C2F35" w:rsidRPr="007061E6" w:rsidRDefault="00910462" w:rsidP="00794926">
      <w:pPr>
        <w:pStyle w:val="Titolo1"/>
        <w:rPr>
          <w:rFonts w:asciiTheme="majorHAnsi" w:hAnsiTheme="majorHAnsi"/>
        </w:rPr>
      </w:pPr>
      <w:bookmarkStart w:id="30" w:name="_Toc60993399"/>
      <w:r w:rsidRPr="007061E6">
        <w:rPr>
          <w:rFonts w:asciiTheme="majorHAnsi" w:hAnsiTheme="majorHAnsi"/>
        </w:rPr>
        <w:lastRenderedPageBreak/>
        <w:t xml:space="preserve">5. </w:t>
      </w:r>
      <w:r w:rsidR="00C550B7" w:rsidRPr="007061E6">
        <w:rPr>
          <w:rFonts w:asciiTheme="majorHAnsi" w:hAnsiTheme="majorHAnsi"/>
        </w:rPr>
        <w:t>TABELLE RIEPILOGO</w:t>
      </w:r>
      <w:bookmarkEnd w:id="30"/>
      <w:r w:rsidR="00C550B7" w:rsidRPr="007061E6">
        <w:rPr>
          <w:rFonts w:asciiTheme="majorHAnsi" w:hAnsiTheme="majorHAnsi"/>
        </w:rPr>
        <w:t xml:space="preserve"> </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0"/>
        <w:gridCol w:w="1434"/>
        <w:gridCol w:w="1404"/>
        <w:gridCol w:w="1147"/>
      </w:tblGrid>
      <w:tr w:rsidR="002C2F35" w:rsidRPr="007061E6" w14:paraId="1B67F64C" w14:textId="77777777" w:rsidTr="007061E6">
        <w:trPr>
          <w:trHeight w:val="427"/>
        </w:trPr>
        <w:tc>
          <w:tcPr>
            <w:tcW w:w="10065" w:type="dxa"/>
            <w:gridSpan w:val="4"/>
            <w:shd w:val="clear" w:color="auto" w:fill="4926CA"/>
          </w:tcPr>
          <w:p w14:paraId="58BB102A" w14:textId="77777777" w:rsidR="002C2F35" w:rsidRPr="007061E6" w:rsidRDefault="002C2F35" w:rsidP="004C0100">
            <w:pPr>
              <w:jc w:val="center"/>
              <w:rPr>
                <w:rFonts w:asciiTheme="majorHAnsi" w:hAnsiTheme="majorHAnsi"/>
                <w:b/>
              </w:rPr>
            </w:pPr>
            <w:r w:rsidRPr="007061E6">
              <w:rPr>
                <w:rFonts w:asciiTheme="majorHAnsi" w:hAnsiTheme="majorHAnsi"/>
                <w:b/>
                <w:color w:val="FFFFFF"/>
                <w:sz w:val="36"/>
                <w:szCs w:val="36"/>
              </w:rPr>
              <w:t>DOMANDA</w:t>
            </w:r>
          </w:p>
        </w:tc>
      </w:tr>
      <w:tr w:rsidR="002C2F35" w:rsidRPr="007061E6" w14:paraId="46B39A5C" w14:textId="77777777" w:rsidTr="007061E6">
        <w:trPr>
          <w:trHeight w:val="585"/>
        </w:trPr>
        <w:tc>
          <w:tcPr>
            <w:tcW w:w="6080" w:type="dxa"/>
            <w:shd w:val="clear" w:color="auto" w:fill="4926CA"/>
          </w:tcPr>
          <w:p w14:paraId="7E608FAE" w14:textId="77777777" w:rsidR="002C2F35" w:rsidRPr="007061E6" w:rsidRDefault="002C2F35" w:rsidP="004C0100">
            <w:pPr>
              <w:jc w:val="center"/>
              <w:rPr>
                <w:rFonts w:asciiTheme="majorHAnsi" w:hAnsiTheme="majorHAnsi"/>
                <w:b/>
                <w:color w:val="FFFFFF"/>
              </w:rPr>
            </w:pPr>
            <w:r w:rsidRPr="007061E6">
              <w:rPr>
                <w:rFonts w:asciiTheme="majorHAnsi" w:hAnsiTheme="majorHAnsi"/>
                <w:b/>
                <w:color w:val="FFFFFF"/>
              </w:rPr>
              <w:t>Misure e Obiettivi</w:t>
            </w:r>
          </w:p>
        </w:tc>
        <w:tc>
          <w:tcPr>
            <w:tcW w:w="1434" w:type="dxa"/>
            <w:shd w:val="clear" w:color="auto" w:fill="4926CA"/>
          </w:tcPr>
          <w:p w14:paraId="597510C1" w14:textId="77777777" w:rsidR="002C2F35" w:rsidRPr="007061E6" w:rsidRDefault="002C2F35" w:rsidP="004C0100">
            <w:pPr>
              <w:jc w:val="center"/>
              <w:rPr>
                <w:rFonts w:asciiTheme="majorHAnsi" w:hAnsiTheme="majorHAnsi"/>
                <w:b/>
                <w:color w:val="FFFFFF"/>
              </w:rPr>
            </w:pPr>
            <w:r w:rsidRPr="007061E6">
              <w:rPr>
                <w:rFonts w:asciiTheme="majorHAnsi" w:hAnsiTheme="majorHAnsi"/>
                <w:b/>
                <w:color w:val="FFFFFF"/>
              </w:rPr>
              <w:t>Veicolo normativo impattato</w:t>
            </w:r>
          </w:p>
        </w:tc>
        <w:tc>
          <w:tcPr>
            <w:tcW w:w="1404" w:type="dxa"/>
            <w:shd w:val="clear" w:color="auto" w:fill="4926CA"/>
          </w:tcPr>
          <w:p w14:paraId="7B109068" w14:textId="77777777" w:rsidR="002C2F35" w:rsidRPr="007061E6" w:rsidRDefault="002C2F35" w:rsidP="004C0100">
            <w:pPr>
              <w:jc w:val="center"/>
              <w:rPr>
                <w:rFonts w:asciiTheme="majorHAnsi" w:hAnsiTheme="majorHAnsi"/>
                <w:b/>
                <w:color w:val="FFFFFF"/>
              </w:rPr>
            </w:pPr>
            <w:r w:rsidRPr="007061E6">
              <w:rPr>
                <w:rFonts w:asciiTheme="majorHAnsi" w:hAnsiTheme="majorHAnsi"/>
                <w:b/>
                <w:color w:val="FFFFFF"/>
              </w:rPr>
              <w:t>Arco temporale</w:t>
            </w:r>
          </w:p>
        </w:tc>
        <w:tc>
          <w:tcPr>
            <w:tcW w:w="1147" w:type="dxa"/>
            <w:shd w:val="clear" w:color="auto" w:fill="4926CA"/>
          </w:tcPr>
          <w:p w14:paraId="4580CCE2" w14:textId="77777777" w:rsidR="002C2F35" w:rsidRPr="007061E6" w:rsidRDefault="002C2F35" w:rsidP="004C0100">
            <w:pPr>
              <w:jc w:val="center"/>
              <w:rPr>
                <w:rFonts w:asciiTheme="majorHAnsi" w:hAnsiTheme="majorHAnsi"/>
                <w:b/>
                <w:color w:val="FFFFFF"/>
              </w:rPr>
            </w:pPr>
            <w:r w:rsidRPr="007061E6">
              <w:rPr>
                <w:rFonts w:asciiTheme="majorHAnsi" w:hAnsiTheme="majorHAnsi"/>
                <w:b/>
                <w:color w:val="FFFFFF"/>
              </w:rPr>
              <w:t>Risorse</w:t>
            </w:r>
          </w:p>
          <w:p w14:paraId="7940D18A" w14:textId="77777777" w:rsidR="002C2F35" w:rsidRPr="007061E6" w:rsidRDefault="002C2F35" w:rsidP="004C0100">
            <w:pPr>
              <w:jc w:val="center"/>
              <w:rPr>
                <w:rFonts w:asciiTheme="majorHAnsi" w:hAnsiTheme="majorHAnsi"/>
                <w:b/>
                <w:color w:val="FFFFFF"/>
              </w:rPr>
            </w:pPr>
            <w:r w:rsidRPr="007061E6">
              <w:rPr>
                <w:rFonts w:asciiTheme="majorHAnsi" w:hAnsiTheme="majorHAnsi"/>
                <w:b/>
                <w:color w:val="FFFFFF"/>
              </w:rPr>
              <w:t>[Mld €]</w:t>
            </w:r>
          </w:p>
        </w:tc>
      </w:tr>
      <w:tr w:rsidR="002C2F35" w:rsidRPr="007061E6" w14:paraId="72422B3C" w14:textId="77777777" w:rsidTr="007061E6">
        <w:trPr>
          <w:trHeight w:val="5036"/>
        </w:trPr>
        <w:tc>
          <w:tcPr>
            <w:tcW w:w="6080" w:type="dxa"/>
          </w:tcPr>
          <w:p w14:paraId="7335A5BE" w14:textId="77777777" w:rsidR="002C2F35" w:rsidRPr="007061E6" w:rsidRDefault="002C2F35" w:rsidP="004C0100">
            <w:pPr>
              <w:rPr>
                <w:rFonts w:asciiTheme="majorHAnsi" w:hAnsiTheme="majorHAnsi"/>
                <w:b/>
                <w:i/>
                <w:sz w:val="30"/>
                <w:szCs w:val="30"/>
              </w:rPr>
            </w:pPr>
            <w:r w:rsidRPr="007061E6">
              <w:rPr>
                <w:rFonts w:asciiTheme="majorHAnsi" w:hAnsiTheme="majorHAnsi"/>
                <w:b/>
                <w:i/>
                <w:sz w:val="30"/>
                <w:szCs w:val="30"/>
              </w:rPr>
              <w:t xml:space="preserve">D.1 </w:t>
            </w:r>
          </w:p>
          <w:p w14:paraId="6C24608F" w14:textId="390E0674" w:rsidR="002C2F35" w:rsidRPr="007061E6" w:rsidRDefault="00A24DB8" w:rsidP="004C0100">
            <w:pPr>
              <w:rPr>
                <w:rFonts w:asciiTheme="majorHAnsi" w:hAnsiTheme="majorHAnsi"/>
                <w:b/>
                <w:i/>
                <w:sz w:val="20"/>
                <w:szCs w:val="20"/>
                <w:u w:val="single"/>
              </w:rPr>
            </w:pPr>
            <w:r>
              <w:rPr>
                <w:rFonts w:asciiTheme="majorHAnsi" w:hAnsiTheme="majorHAnsi"/>
                <w:b/>
                <w:i/>
                <w:sz w:val="20"/>
                <w:szCs w:val="20"/>
                <w:u w:val="single"/>
              </w:rPr>
              <w:t xml:space="preserve">Proroga Ecobonus </w:t>
            </w:r>
            <w:r w:rsidR="002C2F35" w:rsidRPr="007061E6">
              <w:rPr>
                <w:rFonts w:asciiTheme="majorHAnsi" w:hAnsiTheme="majorHAnsi"/>
                <w:b/>
                <w:i/>
                <w:sz w:val="20"/>
                <w:szCs w:val="20"/>
                <w:u w:val="single"/>
              </w:rPr>
              <w:t>veicoli categoria M1 fascia 0 - 60 g CO</w:t>
            </w:r>
            <w:r w:rsidR="002C2F35" w:rsidRPr="007061E6">
              <w:rPr>
                <w:rFonts w:asciiTheme="majorHAnsi" w:hAnsiTheme="majorHAnsi"/>
                <w:b/>
                <w:i/>
                <w:sz w:val="20"/>
                <w:szCs w:val="20"/>
                <w:u w:val="single"/>
                <w:vertAlign w:val="subscript"/>
              </w:rPr>
              <w:t>2</w:t>
            </w:r>
            <w:r w:rsidR="002C2F35" w:rsidRPr="007061E6">
              <w:rPr>
                <w:rFonts w:asciiTheme="majorHAnsi" w:hAnsiTheme="majorHAnsi"/>
                <w:b/>
                <w:i/>
                <w:sz w:val="20"/>
                <w:szCs w:val="20"/>
                <w:u w:val="single"/>
              </w:rPr>
              <w:t>/km</w:t>
            </w:r>
            <w:r>
              <w:rPr>
                <w:rFonts w:asciiTheme="majorHAnsi" w:hAnsiTheme="majorHAnsi"/>
                <w:b/>
                <w:i/>
                <w:sz w:val="20"/>
                <w:szCs w:val="20"/>
                <w:u w:val="single"/>
              </w:rPr>
              <w:t xml:space="preserve"> </w:t>
            </w:r>
          </w:p>
          <w:p w14:paraId="4A993593"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 xml:space="preserve"> Caratteristiche misura:</w:t>
            </w:r>
          </w:p>
          <w:p w14:paraId="72A92A55" w14:textId="77777777" w:rsidR="002C2F35" w:rsidRPr="007061E6" w:rsidRDefault="002C2F35" w:rsidP="00EC4408">
            <w:pPr>
              <w:numPr>
                <w:ilvl w:val="0"/>
                <w:numId w:val="9"/>
              </w:numPr>
              <w:spacing w:line="240" w:lineRule="auto"/>
              <w:jc w:val="both"/>
              <w:rPr>
                <w:rFonts w:asciiTheme="majorHAnsi" w:hAnsiTheme="majorHAnsi"/>
                <w:sz w:val="20"/>
                <w:szCs w:val="20"/>
              </w:rPr>
            </w:pPr>
            <w:r w:rsidRPr="007061E6">
              <w:rPr>
                <w:rFonts w:asciiTheme="majorHAnsi" w:hAnsiTheme="majorHAnsi"/>
                <w:sz w:val="20"/>
                <w:szCs w:val="20"/>
              </w:rPr>
              <w:t xml:space="preserve">Proroga fino al 2025 dell’originario ecobonus per i veicoli di categoria M1 e fasce emissive 0-60, con distinzione dell’incentivo tra acquisto con o senza rottamazione di un veicolo della medesima categoria omologato alle classi da Euro 1 a Euro 4; </w:t>
            </w:r>
          </w:p>
          <w:p w14:paraId="02DEE1E6" w14:textId="1FEF1908" w:rsidR="002C2F35" w:rsidRPr="008B6E4A" w:rsidRDefault="002C2F35" w:rsidP="008B6E4A">
            <w:pPr>
              <w:numPr>
                <w:ilvl w:val="0"/>
                <w:numId w:val="9"/>
              </w:numPr>
              <w:pBdr>
                <w:top w:val="nil"/>
                <w:left w:val="nil"/>
                <w:bottom w:val="nil"/>
                <w:right w:val="nil"/>
                <w:between w:val="nil"/>
              </w:pBdr>
              <w:jc w:val="both"/>
              <w:rPr>
                <w:rFonts w:asciiTheme="majorHAnsi" w:hAnsiTheme="majorHAnsi"/>
                <w:color w:val="000000"/>
                <w:sz w:val="20"/>
                <w:szCs w:val="20"/>
              </w:rPr>
            </w:pPr>
            <w:r w:rsidRPr="007061E6">
              <w:rPr>
                <w:rFonts w:asciiTheme="majorHAnsi" w:hAnsiTheme="majorHAnsi"/>
                <w:color w:val="000000"/>
                <w:sz w:val="20"/>
                <w:szCs w:val="20"/>
              </w:rPr>
              <w:t>Incentivo u</w:t>
            </w:r>
            <w:r w:rsidR="00A24DB8">
              <w:rPr>
                <w:rFonts w:asciiTheme="majorHAnsi" w:hAnsiTheme="majorHAnsi"/>
                <w:color w:val="000000"/>
                <w:sz w:val="20"/>
                <w:szCs w:val="20"/>
              </w:rPr>
              <w:t>nitario decrescente</w:t>
            </w:r>
            <w:r w:rsidRPr="007061E6">
              <w:rPr>
                <w:rFonts w:asciiTheme="majorHAnsi" w:hAnsiTheme="majorHAnsi"/>
                <w:color w:val="000000"/>
                <w:sz w:val="20"/>
                <w:szCs w:val="20"/>
              </w:rPr>
              <w:t xml:space="preserve"> nel tempo</w:t>
            </w:r>
            <w:r w:rsidR="008B6E4A">
              <w:rPr>
                <w:rFonts w:asciiTheme="majorHAnsi" w:hAnsiTheme="majorHAnsi"/>
                <w:color w:val="000000"/>
                <w:sz w:val="20"/>
                <w:szCs w:val="20"/>
              </w:rPr>
              <w:t xml:space="preserve"> a partire dal 2023</w:t>
            </w:r>
            <w:r w:rsidRPr="007061E6">
              <w:rPr>
                <w:rFonts w:asciiTheme="majorHAnsi" w:hAnsiTheme="majorHAnsi"/>
                <w:color w:val="000000"/>
                <w:sz w:val="20"/>
                <w:szCs w:val="20"/>
              </w:rPr>
              <w:t>;</w:t>
            </w:r>
          </w:p>
          <w:p w14:paraId="3B8CEC74" w14:textId="77777777" w:rsidR="002C2F35" w:rsidRPr="007061E6" w:rsidRDefault="002C2F35" w:rsidP="00EC4408">
            <w:pPr>
              <w:numPr>
                <w:ilvl w:val="0"/>
                <w:numId w:val="9"/>
              </w:numPr>
              <w:pBdr>
                <w:top w:val="nil"/>
                <w:left w:val="nil"/>
                <w:bottom w:val="nil"/>
                <w:right w:val="nil"/>
                <w:between w:val="nil"/>
              </w:pBdr>
              <w:jc w:val="both"/>
              <w:rPr>
                <w:rFonts w:asciiTheme="majorHAnsi" w:hAnsiTheme="majorHAnsi"/>
                <w:color w:val="000000"/>
                <w:sz w:val="20"/>
                <w:szCs w:val="20"/>
              </w:rPr>
            </w:pPr>
            <w:r w:rsidRPr="007061E6">
              <w:rPr>
                <w:rFonts w:asciiTheme="majorHAnsi" w:hAnsiTheme="majorHAnsi"/>
                <w:color w:val="000000"/>
                <w:sz w:val="20"/>
                <w:szCs w:val="20"/>
              </w:rPr>
              <w:t>Stessa struttura di base dell’ecobonus originario</w:t>
            </w:r>
            <w:r w:rsidRPr="007061E6">
              <w:rPr>
                <w:rFonts w:asciiTheme="majorHAnsi" w:hAnsiTheme="majorHAnsi"/>
                <w:sz w:val="20"/>
                <w:szCs w:val="20"/>
              </w:rPr>
              <w:t xml:space="preserve">: </w:t>
            </w:r>
            <w:r w:rsidRPr="007061E6">
              <w:rPr>
                <w:rFonts w:asciiTheme="majorHAnsi" w:hAnsiTheme="majorHAnsi"/>
                <w:color w:val="000000"/>
                <w:sz w:val="20"/>
                <w:szCs w:val="20"/>
              </w:rPr>
              <w:t>incentivo diretto all’acquisto e non credito d’imposta.</w:t>
            </w:r>
          </w:p>
          <w:p w14:paraId="2857E4F4" w14:textId="77777777" w:rsidR="002C2F35" w:rsidRPr="007061E6" w:rsidRDefault="002C2F35" w:rsidP="004C0100">
            <w:pPr>
              <w:pBdr>
                <w:top w:val="nil"/>
                <w:left w:val="nil"/>
                <w:bottom w:val="nil"/>
                <w:right w:val="nil"/>
                <w:between w:val="nil"/>
              </w:pBdr>
              <w:ind w:left="720"/>
              <w:jc w:val="both"/>
              <w:rPr>
                <w:rFonts w:asciiTheme="majorHAnsi" w:hAnsiTheme="majorHAnsi"/>
                <w:sz w:val="20"/>
                <w:szCs w:val="20"/>
              </w:rPr>
            </w:pPr>
          </w:p>
          <w:p w14:paraId="4EF721B5" w14:textId="77777777" w:rsidR="002C2F35" w:rsidRPr="007061E6" w:rsidRDefault="002C2F35" w:rsidP="004C0100">
            <w:pPr>
              <w:jc w:val="both"/>
              <w:rPr>
                <w:rFonts w:asciiTheme="majorHAnsi" w:hAnsiTheme="majorHAnsi"/>
                <w:sz w:val="20"/>
                <w:szCs w:val="20"/>
              </w:rPr>
            </w:pPr>
            <w:r w:rsidRPr="007061E6">
              <w:rPr>
                <w:rFonts w:asciiTheme="majorHAnsi" w:hAnsiTheme="majorHAnsi"/>
                <w:sz w:val="20"/>
                <w:szCs w:val="20"/>
              </w:rPr>
              <w:t>Risultati attesi alla fine dell’arco temporale:</w:t>
            </w:r>
          </w:p>
          <w:p w14:paraId="79D4F803" w14:textId="77777777" w:rsidR="002C2F35" w:rsidRPr="007061E6" w:rsidRDefault="002C2F35" w:rsidP="00EC4408">
            <w:pPr>
              <w:numPr>
                <w:ilvl w:val="0"/>
                <w:numId w:val="14"/>
              </w:numPr>
              <w:pBdr>
                <w:top w:val="nil"/>
                <w:left w:val="nil"/>
                <w:bottom w:val="nil"/>
                <w:right w:val="nil"/>
                <w:between w:val="nil"/>
              </w:pBdr>
              <w:jc w:val="both"/>
              <w:rPr>
                <w:rFonts w:asciiTheme="majorHAnsi" w:hAnsiTheme="majorHAnsi"/>
                <w:color w:val="000000"/>
                <w:sz w:val="20"/>
                <w:szCs w:val="20"/>
              </w:rPr>
            </w:pPr>
            <w:r w:rsidRPr="007061E6">
              <w:rPr>
                <w:rFonts w:asciiTheme="majorHAnsi" w:hAnsiTheme="majorHAnsi"/>
                <w:color w:val="000000"/>
                <w:sz w:val="20"/>
                <w:szCs w:val="20"/>
              </w:rPr>
              <w:t>909.000 BEV i</w:t>
            </w:r>
            <w:r w:rsidRPr="007061E6">
              <w:rPr>
                <w:rFonts w:asciiTheme="majorHAnsi" w:hAnsiTheme="majorHAnsi"/>
                <w:sz w:val="20"/>
                <w:szCs w:val="20"/>
              </w:rPr>
              <w:t>ncentivate;</w:t>
            </w:r>
          </w:p>
          <w:p w14:paraId="7A3B946E" w14:textId="00A69A3B" w:rsidR="002C2F35" w:rsidRPr="007061E6" w:rsidRDefault="008B6E4A" w:rsidP="00EC4408">
            <w:pPr>
              <w:numPr>
                <w:ilvl w:val="0"/>
                <w:numId w:val="14"/>
              </w:numPr>
              <w:pBdr>
                <w:top w:val="nil"/>
                <w:left w:val="nil"/>
                <w:bottom w:val="nil"/>
                <w:right w:val="nil"/>
                <w:between w:val="nil"/>
              </w:pBdr>
              <w:spacing w:after="200"/>
              <w:jc w:val="both"/>
              <w:rPr>
                <w:rFonts w:asciiTheme="majorHAnsi" w:hAnsiTheme="majorHAnsi"/>
                <w:color w:val="000000"/>
                <w:sz w:val="20"/>
                <w:szCs w:val="20"/>
              </w:rPr>
            </w:pPr>
            <w:r>
              <w:rPr>
                <w:rFonts w:asciiTheme="majorHAnsi" w:hAnsiTheme="majorHAnsi"/>
                <w:color w:val="000000"/>
                <w:sz w:val="20"/>
                <w:szCs w:val="20"/>
              </w:rPr>
              <w:t>350.000</w:t>
            </w:r>
            <w:r w:rsidR="002C2F35" w:rsidRPr="007061E6">
              <w:rPr>
                <w:rFonts w:asciiTheme="majorHAnsi" w:hAnsiTheme="majorHAnsi"/>
                <w:color w:val="000000"/>
                <w:sz w:val="20"/>
                <w:szCs w:val="20"/>
              </w:rPr>
              <w:t xml:space="preserve"> PHEV </w:t>
            </w:r>
            <w:r w:rsidR="002C2F35" w:rsidRPr="007061E6">
              <w:rPr>
                <w:rFonts w:asciiTheme="majorHAnsi" w:hAnsiTheme="majorHAnsi"/>
                <w:sz w:val="20"/>
                <w:szCs w:val="20"/>
              </w:rPr>
              <w:t>incentivate.</w:t>
            </w:r>
          </w:p>
          <w:p w14:paraId="5ABA3E37" w14:textId="77777777" w:rsidR="002C2F35" w:rsidRPr="007061E6" w:rsidRDefault="002C2F35" w:rsidP="004C0100">
            <w:pPr>
              <w:jc w:val="both"/>
              <w:rPr>
                <w:rFonts w:asciiTheme="majorHAnsi" w:hAnsiTheme="majorHAnsi"/>
                <w:sz w:val="20"/>
                <w:szCs w:val="20"/>
              </w:rPr>
            </w:pPr>
            <w:r w:rsidRPr="007061E6">
              <w:rPr>
                <w:rFonts w:asciiTheme="majorHAnsi" w:hAnsiTheme="majorHAnsi"/>
                <w:sz w:val="20"/>
                <w:szCs w:val="20"/>
              </w:rPr>
              <w:t>Altro:</w:t>
            </w:r>
          </w:p>
          <w:p w14:paraId="35F1A05E" w14:textId="77777777" w:rsidR="002C2F35" w:rsidRPr="007061E6" w:rsidRDefault="002C2F35" w:rsidP="00EC4408">
            <w:pPr>
              <w:numPr>
                <w:ilvl w:val="0"/>
                <w:numId w:val="20"/>
              </w:numPr>
              <w:pBdr>
                <w:top w:val="nil"/>
                <w:left w:val="nil"/>
                <w:bottom w:val="nil"/>
                <w:right w:val="nil"/>
                <w:between w:val="nil"/>
              </w:pBdr>
              <w:spacing w:after="200"/>
              <w:jc w:val="both"/>
              <w:rPr>
                <w:rFonts w:asciiTheme="majorHAnsi" w:hAnsiTheme="majorHAnsi"/>
                <w:color w:val="000000"/>
                <w:sz w:val="20"/>
                <w:szCs w:val="20"/>
              </w:rPr>
            </w:pPr>
            <w:r w:rsidRPr="007061E6">
              <w:rPr>
                <w:rFonts w:asciiTheme="majorHAnsi" w:hAnsiTheme="majorHAnsi"/>
                <w:color w:val="000000"/>
                <w:sz w:val="20"/>
                <w:szCs w:val="20"/>
              </w:rPr>
              <w:t>Scheda componente attuale PNRR (29/12):  M2C2.</w:t>
            </w:r>
          </w:p>
        </w:tc>
        <w:tc>
          <w:tcPr>
            <w:tcW w:w="1434" w:type="dxa"/>
          </w:tcPr>
          <w:p w14:paraId="11A20E91"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Legge di Bilancio 2019</w:t>
            </w:r>
          </w:p>
          <w:p w14:paraId="1115910B" w14:textId="77777777" w:rsidR="002C2F35" w:rsidRPr="007061E6" w:rsidRDefault="002C2F35" w:rsidP="004C0100">
            <w:pPr>
              <w:jc w:val="center"/>
              <w:rPr>
                <w:rFonts w:asciiTheme="majorHAnsi" w:hAnsiTheme="majorHAnsi"/>
                <w:b/>
                <w:i/>
                <w:sz w:val="20"/>
                <w:szCs w:val="20"/>
              </w:rPr>
            </w:pPr>
          </w:p>
        </w:tc>
        <w:tc>
          <w:tcPr>
            <w:tcW w:w="1404" w:type="dxa"/>
          </w:tcPr>
          <w:p w14:paraId="036A079A"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2022 -2025</w:t>
            </w:r>
          </w:p>
        </w:tc>
        <w:tc>
          <w:tcPr>
            <w:tcW w:w="1147" w:type="dxa"/>
          </w:tcPr>
          <w:p w14:paraId="15B23FB1" w14:textId="489D0CFC" w:rsidR="002C2F35" w:rsidRPr="007061E6" w:rsidRDefault="008B6E4A" w:rsidP="004C0100">
            <w:pPr>
              <w:jc w:val="center"/>
              <w:rPr>
                <w:rFonts w:asciiTheme="majorHAnsi" w:hAnsiTheme="majorHAnsi"/>
                <w:b/>
                <w:i/>
                <w:sz w:val="20"/>
                <w:szCs w:val="20"/>
              </w:rPr>
            </w:pPr>
            <w:r w:rsidRPr="00C13528">
              <w:rPr>
                <w:rFonts w:asciiTheme="majorHAnsi" w:hAnsiTheme="majorHAnsi"/>
                <w:b/>
                <w:i/>
                <w:sz w:val="20"/>
                <w:szCs w:val="20"/>
              </w:rPr>
              <w:t>3,5</w:t>
            </w:r>
            <w:r w:rsidR="002C2F35" w:rsidRPr="00C13528">
              <w:rPr>
                <w:rFonts w:asciiTheme="majorHAnsi" w:hAnsiTheme="majorHAnsi"/>
                <w:b/>
                <w:i/>
                <w:sz w:val="20"/>
                <w:szCs w:val="20"/>
              </w:rPr>
              <w:t>0</w:t>
            </w:r>
          </w:p>
        </w:tc>
      </w:tr>
      <w:tr w:rsidR="002C2F35" w:rsidRPr="007061E6" w14:paraId="60D963E0" w14:textId="77777777" w:rsidTr="007061E6">
        <w:trPr>
          <w:trHeight w:val="419"/>
        </w:trPr>
        <w:tc>
          <w:tcPr>
            <w:tcW w:w="6080" w:type="dxa"/>
          </w:tcPr>
          <w:p w14:paraId="6F819701" w14:textId="77777777" w:rsidR="002C2F35" w:rsidRPr="007061E6" w:rsidRDefault="002C2F35" w:rsidP="004C0100">
            <w:pPr>
              <w:widowControl w:val="0"/>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 xml:space="preserve">D.2 </w:t>
            </w:r>
          </w:p>
          <w:p w14:paraId="598AE517" w14:textId="77777777" w:rsidR="002C2F35" w:rsidRPr="007061E6" w:rsidRDefault="002C2F35" w:rsidP="004C0100">
            <w:pPr>
              <w:widowControl w:val="0"/>
              <w:pBdr>
                <w:top w:val="nil"/>
                <w:left w:val="nil"/>
                <w:bottom w:val="nil"/>
                <w:right w:val="nil"/>
                <w:between w:val="nil"/>
              </w:pBdr>
              <w:rPr>
                <w:rFonts w:asciiTheme="majorHAnsi" w:hAnsiTheme="majorHAnsi"/>
                <w:b/>
                <w:sz w:val="20"/>
                <w:szCs w:val="20"/>
              </w:rPr>
            </w:pPr>
            <w:r w:rsidRPr="007061E6">
              <w:rPr>
                <w:rFonts w:asciiTheme="majorHAnsi" w:hAnsiTheme="majorHAnsi"/>
                <w:b/>
                <w:i/>
                <w:sz w:val="20"/>
                <w:szCs w:val="20"/>
                <w:u w:val="single"/>
              </w:rPr>
              <w:t>Rafforzamento fondi del PSNMS per l’acquisto di soli mezzi pubblici a zero emissioni</w:t>
            </w:r>
          </w:p>
          <w:p w14:paraId="40839A91" w14:textId="77777777" w:rsidR="002C2F35" w:rsidRPr="007061E6" w:rsidRDefault="002C2F35" w:rsidP="004C0100">
            <w:pPr>
              <w:widowControl w:val="0"/>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Caratteristiche misura:</w:t>
            </w:r>
          </w:p>
          <w:p w14:paraId="13CD8625" w14:textId="77777777" w:rsidR="002C2F35" w:rsidRPr="007061E6" w:rsidRDefault="002C2F35" w:rsidP="00EC4408">
            <w:pPr>
              <w:pStyle w:val="Paragrafoelenco"/>
              <w:numPr>
                <w:ilvl w:val="0"/>
                <w:numId w:val="41"/>
              </w:numPr>
              <w:pBdr>
                <w:top w:val="nil"/>
                <w:left w:val="nil"/>
                <w:bottom w:val="nil"/>
                <w:right w:val="nil"/>
                <w:between w:val="nil"/>
              </w:pBdr>
              <w:spacing w:after="0" w:line="240" w:lineRule="auto"/>
              <w:ind w:left="768" w:hanging="284"/>
              <w:jc w:val="both"/>
              <w:rPr>
                <w:rFonts w:asciiTheme="majorHAnsi" w:hAnsiTheme="majorHAnsi"/>
                <w:color w:val="000000"/>
                <w:sz w:val="20"/>
                <w:szCs w:val="20"/>
              </w:rPr>
            </w:pPr>
            <w:r w:rsidRPr="007061E6">
              <w:rPr>
                <w:rFonts w:asciiTheme="majorHAnsi" w:hAnsiTheme="majorHAnsi"/>
                <w:color w:val="000000"/>
                <w:sz w:val="20"/>
                <w:szCs w:val="20"/>
              </w:rPr>
              <w:t>Rafforzamento dei fondi del PSNMS destinato al rinnovo dei mezzi del Trasporto Pubblico Locale su gomma e al miglioramento della qualità dell’aria mediante utilizzo di mezzi pubblici a zero emissioni;</w:t>
            </w:r>
          </w:p>
          <w:tbl>
            <w:tblPr>
              <w:tblW w:w="5917" w:type="dxa"/>
              <w:tblBorders>
                <w:top w:val="nil"/>
                <w:left w:val="nil"/>
                <w:bottom w:val="nil"/>
                <w:right w:val="nil"/>
              </w:tblBorders>
              <w:tblLayout w:type="fixed"/>
              <w:tblLook w:val="0000" w:firstRow="0" w:lastRow="0" w:firstColumn="0" w:lastColumn="0" w:noHBand="0" w:noVBand="0"/>
            </w:tblPr>
            <w:tblGrid>
              <w:gridCol w:w="5917"/>
            </w:tblGrid>
            <w:tr w:rsidR="002C2F35" w:rsidRPr="007061E6" w14:paraId="11DF4074" w14:textId="77777777" w:rsidTr="004C0100">
              <w:trPr>
                <w:trHeight w:val="2672"/>
              </w:trPr>
              <w:tc>
                <w:tcPr>
                  <w:tcW w:w="5917" w:type="dxa"/>
                </w:tcPr>
                <w:p w14:paraId="4E9FE845" w14:textId="77777777" w:rsidR="002C2F35" w:rsidRPr="007061E6" w:rsidRDefault="002C2F35" w:rsidP="00EC4408">
                  <w:pPr>
                    <w:pStyle w:val="Paragrafoelenco"/>
                    <w:numPr>
                      <w:ilvl w:val="0"/>
                      <w:numId w:val="41"/>
                    </w:numPr>
                    <w:pBdr>
                      <w:top w:val="nil"/>
                      <w:left w:val="nil"/>
                      <w:bottom w:val="nil"/>
                      <w:right w:val="nil"/>
                      <w:between w:val="nil"/>
                    </w:pBdr>
                    <w:spacing w:after="0" w:line="240" w:lineRule="auto"/>
                    <w:jc w:val="both"/>
                    <w:rPr>
                      <w:rFonts w:asciiTheme="majorHAnsi" w:hAnsiTheme="majorHAnsi"/>
                      <w:sz w:val="20"/>
                      <w:szCs w:val="20"/>
                    </w:rPr>
                  </w:pPr>
                  <w:r w:rsidRPr="007061E6">
                    <w:rPr>
                      <w:rFonts w:asciiTheme="majorHAnsi" w:hAnsiTheme="majorHAnsi"/>
                      <w:color w:val="000000"/>
                      <w:sz w:val="20"/>
                      <w:szCs w:val="20"/>
                    </w:rPr>
                    <w:t xml:space="preserve">Necessario rivedere le attuali modalità di accesso ai fondi, estendendole anche al noleggio operativo per offerte integrate (es. </w:t>
                  </w:r>
                  <w:r w:rsidRPr="007061E6">
                    <w:rPr>
                      <w:rFonts w:asciiTheme="majorHAnsi" w:hAnsiTheme="majorHAnsi"/>
                      <w:i/>
                      <w:color w:val="000000"/>
                      <w:sz w:val="20"/>
                      <w:szCs w:val="20"/>
                    </w:rPr>
                    <w:t>mezzi + infrastrutture + energia)</w:t>
                  </w:r>
                  <w:r w:rsidRPr="007061E6">
                    <w:rPr>
                      <w:rFonts w:asciiTheme="majorHAnsi" w:hAnsiTheme="majorHAnsi"/>
                      <w:color w:val="000000"/>
                      <w:sz w:val="20"/>
                      <w:szCs w:val="20"/>
                    </w:rPr>
                    <w:t>;</w:t>
                  </w:r>
                </w:p>
                <w:p w14:paraId="679E8D0F" w14:textId="77777777" w:rsidR="002C2F35" w:rsidRPr="007061E6" w:rsidRDefault="002C2F35" w:rsidP="00EC4408">
                  <w:pPr>
                    <w:pStyle w:val="Paragrafoelenco"/>
                    <w:numPr>
                      <w:ilvl w:val="0"/>
                      <w:numId w:val="41"/>
                    </w:numPr>
                    <w:pBdr>
                      <w:top w:val="nil"/>
                      <w:left w:val="nil"/>
                      <w:bottom w:val="nil"/>
                      <w:right w:val="nil"/>
                      <w:between w:val="nil"/>
                    </w:pBdr>
                    <w:spacing w:after="0" w:line="240" w:lineRule="auto"/>
                    <w:jc w:val="both"/>
                    <w:rPr>
                      <w:rFonts w:asciiTheme="majorHAnsi" w:hAnsiTheme="majorHAnsi"/>
                      <w:color w:val="000000"/>
                      <w:sz w:val="20"/>
                      <w:szCs w:val="20"/>
                    </w:rPr>
                  </w:pPr>
                  <w:r w:rsidRPr="007061E6">
                    <w:rPr>
                      <w:rFonts w:asciiTheme="majorHAnsi" w:hAnsiTheme="majorHAnsi"/>
                      <w:color w:val="000000"/>
                      <w:sz w:val="20"/>
                      <w:szCs w:val="20"/>
                    </w:rPr>
                    <w:t>Fondi del NGEU solo per TPL su gomma a zero emissioni (esclusione GNL, GNC e diesel).</w:t>
                  </w:r>
                </w:p>
                <w:p w14:paraId="48966B2A" w14:textId="77777777" w:rsidR="002C2F35" w:rsidRPr="007061E6" w:rsidRDefault="002C2F35" w:rsidP="004C0100">
                  <w:pPr>
                    <w:pBdr>
                      <w:top w:val="nil"/>
                      <w:left w:val="nil"/>
                      <w:bottom w:val="nil"/>
                      <w:right w:val="nil"/>
                      <w:between w:val="nil"/>
                    </w:pBdr>
                    <w:ind w:left="720"/>
                    <w:jc w:val="both"/>
                    <w:rPr>
                      <w:rFonts w:asciiTheme="majorHAnsi" w:hAnsiTheme="majorHAnsi"/>
                      <w:sz w:val="20"/>
                      <w:szCs w:val="20"/>
                    </w:rPr>
                  </w:pPr>
                </w:p>
                <w:p w14:paraId="4D9A079E" w14:textId="77777777" w:rsidR="002C2F35" w:rsidRPr="007061E6" w:rsidRDefault="002C2F35" w:rsidP="004C0100">
                  <w:pPr>
                    <w:ind w:left="-50"/>
                    <w:jc w:val="both"/>
                    <w:rPr>
                      <w:rFonts w:asciiTheme="majorHAnsi" w:hAnsiTheme="majorHAnsi"/>
                      <w:sz w:val="20"/>
                      <w:szCs w:val="20"/>
                    </w:rPr>
                  </w:pPr>
                  <w:r w:rsidRPr="007061E6">
                    <w:rPr>
                      <w:rFonts w:asciiTheme="majorHAnsi" w:hAnsiTheme="majorHAnsi"/>
                      <w:sz w:val="20"/>
                      <w:szCs w:val="20"/>
                    </w:rPr>
                    <w:t xml:space="preserve">Risultati attesi alla fine dell’arco temporale: </w:t>
                  </w:r>
                </w:p>
                <w:p w14:paraId="29231EAD" w14:textId="77777777" w:rsidR="002C2F35" w:rsidRPr="007061E6" w:rsidRDefault="002C2F35" w:rsidP="00EC4408">
                  <w:pPr>
                    <w:pStyle w:val="Paragrafoelenco"/>
                    <w:numPr>
                      <w:ilvl w:val="0"/>
                      <w:numId w:val="42"/>
                    </w:numPr>
                    <w:pBdr>
                      <w:top w:val="nil"/>
                      <w:left w:val="nil"/>
                      <w:bottom w:val="nil"/>
                      <w:right w:val="nil"/>
                      <w:between w:val="nil"/>
                    </w:pBdr>
                    <w:spacing w:after="0" w:line="240" w:lineRule="auto"/>
                    <w:jc w:val="both"/>
                    <w:rPr>
                      <w:rFonts w:asciiTheme="majorHAnsi" w:hAnsiTheme="majorHAnsi"/>
                      <w:color w:val="000000"/>
                      <w:sz w:val="20"/>
                      <w:szCs w:val="20"/>
                    </w:rPr>
                  </w:pPr>
                  <w:r w:rsidRPr="007061E6">
                    <w:rPr>
                      <w:rFonts w:asciiTheme="majorHAnsi" w:hAnsiTheme="majorHAnsi"/>
                      <w:color w:val="000000"/>
                      <w:sz w:val="20"/>
                      <w:szCs w:val="20"/>
                    </w:rPr>
                    <w:t>15.000 mezzi elettrici (lunghezza 12 – 18 m).</w:t>
                  </w:r>
                </w:p>
                <w:p w14:paraId="435CAA5D" w14:textId="77777777" w:rsidR="002C2F35" w:rsidRPr="007061E6" w:rsidRDefault="002C2F35" w:rsidP="004C0100">
                  <w:pPr>
                    <w:jc w:val="both"/>
                    <w:rPr>
                      <w:rFonts w:asciiTheme="majorHAnsi" w:hAnsiTheme="majorHAnsi"/>
                      <w:sz w:val="20"/>
                      <w:szCs w:val="20"/>
                    </w:rPr>
                  </w:pPr>
                  <w:r w:rsidRPr="007061E6">
                    <w:rPr>
                      <w:rFonts w:asciiTheme="majorHAnsi" w:hAnsiTheme="majorHAnsi"/>
                      <w:sz w:val="20"/>
                      <w:szCs w:val="20"/>
                    </w:rPr>
                    <w:t>Altro:</w:t>
                  </w:r>
                </w:p>
                <w:p w14:paraId="5500919E" w14:textId="77777777" w:rsidR="002C2F35" w:rsidRPr="007061E6" w:rsidRDefault="002C2F35" w:rsidP="00EC4408">
                  <w:pPr>
                    <w:pStyle w:val="Paragrafoelenco"/>
                    <w:numPr>
                      <w:ilvl w:val="0"/>
                      <w:numId w:val="42"/>
                    </w:numPr>
                    <w:pBdr>
                      <w:top w:val="nil"/>
                      <w:left w:val="nil"/>
                      <w:bottom w:val="nil"/>
                      <w:right w:val="nil"/>
                      <w:between w:val="nil"/>
                    </w:pBdr>
                    <w:spacing w:after="0" w:line="240" w:lineRule="auto"/>
                    <w:jc w:val="both"/>
                    <w:rPr>
                      <w:rFonts w:asciiTheme="majorHAnsi" w:hAnsiTheme="majorHAnsi"/>
                      <w:color w:val="000000"/>
                      <w:sz w:val="20"/>
                      <w:szCs w:val="20"/>
                    </w:rPr>
                  </w:pPr>
                  <w:r w:rsidRPr="007061E6">
                    <w:rPr>
                      <w:rFonts w:asciiTheme="majorHAnsi" w:hAnsiTheme="majorHAnsi"/>
                      <w:color w:val="000000"/>
                      <w:sz w:val="20"/>
                      <w:szCs w:val="20"/>
                    </w:rPr>
                    <w:t>Scheda componente attuale PNRR (29/12): M2C2.</w:t>
                  </w:r>
                </w:p>
              </w:tc>
            </w:tr>
          </w:tbl>
          <w:p w14:paraId="3CB864C1" w14:textId="77777777" w:rsidR="002C2F35" w:rsidRPr="007061E6" w:rsidRDefault="002C2F35" w:rsidP="004C0100">
            <w:pPr>
              <w:rPr>
                <w:rFonts w:asciiTheme="majorHAnsi" w:hAnsiTheme="majorHAnsi"/>
              </w:rPr>
            </w:pPr>
          </w:p>
        </w:tc>
        <w:tc>
          <w:tcPr>
            <w:tcW w:w="1434" w:type="dxa"/>
          </w:tcPr>
          <w:p w14:paraId="08FE05F3" w14:textId="77777777" w:rsidR="002C2F35" w:rsidRPr="007061E6" w:rsidRDefault="002C2F35" w:rsidP="004C0100">
            <w:pPr>
              <w:jc w:val="center"/>
              <w:rPr>
                <w:rFonts w:asciiTheme="majorHAnsi" w:hAnsiTheme="majorHAnsi"/>
                <w:b/>
                <w:sz w:val="20"/>
                <w:szCs w:val="20"/>
              </w:rPr>
            </w:pPr>
            <w:r w:rsidRPr="007061E6">
              <w:rPr>
                <w:rFonts w:asciiTheme="majorHAnsi" w:hAnsiTheme="majorHAnsi"/>
                <w:b/>
                <w:i/>
                <w:sz w:val="20"/>
                <w:szCs w:val="20"/>
              </w:rPr>
              <w:t>Piano Strategico Nazionale della Mobilità Sostenibile</w:t>
            </w:r>
            <w:r w:rsidRPr="007061E6">
              <w:rPr>
                <w:rFonts w:asciiTheme="majorHAnsi" w:hAnsiTheme="majorHAnsi"/>
                <w:b/>
                <w:sz w:val="20"/>
                <w:szCs w:val="20"/>
              </w:rPr>
              <w:t> </w:t>
            </w:r>
          </w:p>
          <w:p w14:paraId="1436F9D8" w14:textId="77777777" w:rsidR="002C2F35" w:rsidRPr="007061E6" w:rsidRDefault="002C2F35" w:rsidP="004C0100">
            <w:pPr>
              <w:jc w:val="center"/>
              <w:rPr>
                <w:rFonts w:asciiTheme="majorHAnsi" w:hAnsiTheme="majorHAnsi"/>
                <w:b/>
                <w:sz w:val="20"/>
                <w:szCs w:val="20"/>
              </w:rPr>
            </w:pPr>
            <w:r w:rsidRPr="007061E6">
              <w:rPr>
                <w:rFonts w:asciiTheme="majorHAnsi" w:hAnsiTheme="majorHAnsi"/>
                <w:b/>
                <w:sz w:val="20"/>
                <w:szCs w:val="20"/>
              </w:rPr>
              <w:t xml:space="preserve"> (DPCM 30 aprile 2019)</w:t>
            </w:r>
          </w:p>
          <w:p w14:paraId="1C1BA0A6" w14:textId="77777777" w:rsidR="002C2F35" w:rsidRPr="007061E6" w:rsidRDefault="002C2F35" w:rsidP="004C0100">
            <w:pPr>
              <w:jc w:val="center"/>
              <w:rPr>
                <w:rFonts w:asciiTheme="majorHAnsi" w:hAnsiTheme="majorHAnsi"/>
                <w:b/>
              </w:rPr>
            </w:pPr>
          </w:p>
        </w:tc>
        <w:tc>
          <w:tcPr>
            <w:tcW w:w="1404" w:type="dxa"/>
          </w:tcPr>
          <w:p w14:paraId="6AEEB73A" w14:textId="77777777" w:rsidR="002C2F35" w:rsidRPr="007061E6" w:rsidRDefault="002C2F35" w:rsidP="004C0100">
            <w:pPr>
              <w:jc w:val="center"/>
              <w:rPr>
                <w:rFonts w:asciiTheme="majorHAnsi" w:hAnsiTheme="majorHAnsi"/>
                <w:b/>
                <w:i/>
              </w:rPr>
            </w:pPr>
            <w:r w:rsidRPr="007061E6">
              <w:rPr>
                <w:rFonts w:asciiTheme="majorHAnsi" w:hAnsiTheme="majorHAnsi"/>
                <w:b/>
                <w:i/>
                <w:sz w:val="20"/>
                <w:szCs w:val="20"/>
              </w:rPr>
              <w:t>2022-2025</w:t>
            </w:r>
          </w:p>
        </w:tc>
        <w:tc>
          <w:tcPr>
            <w:tcW w:w="1147" w:type="dxa"/>
          </w:tcPr>
          <w:p w14:paraId="62F80B61" w14:textId="77777777" w:rsidR="002C2F35" w:rsidRPr="007061E6" w:rsidRDefault="002C2F35" w:rsidP="004C0100">
            <w:pPr>
              <w:jc w:val="center"/>
              <w:rPr>
                <w:rFonts w:asciiTheme="majorHAnsi" w:hAnsiTheme="majorHAnsi"/>
                <w:b/>
              </w:rPr>
            </w:pPr>
            <w:r w:rsidRPr="007061E6">
              <w:rPr>
                <w:rFonts w:asciiTheme="majorHAnsi" w:hAnsiTheme="majorHAnsi"/>
                <w:b/>
                <w:sz w:val="20"/>
                <w:szCs w:val="20"/>
              </w:rPr>
              <w:t>3,62</w:t>
            </w:r>
          </w:p>
        </w:tc>
      </w:tr>
      <w:tr w:rsidR="002C2F35" w:rsidRPr="007061E6" w14:paraId="306EF121" w14:textId="77777777" w:rsidTr="007061E6">
        <w:trPr>
          <w:trHeight w:val="1533"/>
        </w:trPr>
        <w:tc>
          <w:tcPr>
            <w:tcW w:w="6080" w:type="dxa"/>
          </w:tcPr>
          <w:p w14:paraId="0ED967D6" w14:textId="77777777" w:rsidR="002C2F35" w:rsidRPr="007061E6" w:rsidRDefault="002C2F35" w:rsidP="004C0100">
            <w:pPr>
              <w:rPr>
                <w:rFonts w:asciiTheme="majorHAnsi" w:hAnsiTheme="majorHAnsi"/>
                <w:b/>
                <w:i/>
                <w:sz w:val="30"/>
                <w:szCs w:val="30"/>
              </w:rPr>
            </w:pPr>
            <w:r w:rsidRPr="007061E6">
              <w:rPr>
                <w:rFonts w:asciiTheme="majorHAnsi" w:hAnsiTheme="majorHAnsi"/>
                <w:b/>
                <w:i/>
                <w:sz w:val="30"/>
                <w:szCs w:val="30"/>
              </w:rPr>
              <w:lastRenderedPageBreak/>
              <w:t>D.3</w:t>
            </w:r>
          </w:p>
          <w:p w14:paraId="45713FF4" w14:textId="77777777" w:rsidR="002C2F35" w:rsidRPr="007061E6" w:rsidRDefault="002C2F35" w:rsidP="004C0100">
            <w:pPr>
              <w:rPr>
                <w:rFonts w:asciiTheme="majorHAnsi" w:hAnsiTheme="majorHAnsi"/>
                <w:b/>
                <w:i/>
                <w:sz w:val="20"/>
                <w:szCs w:val="20"/>
                <w:u w:val="single"/>
              </w:rPr>
            </w:pPr>
            <w:r w:rsidRPr="007061E6">
              <w:rPr>
                <w:rFonts w:asciiTheme="majorHAnsi" w:hAnsiTheme="majorHAnsi"/>
                <w:b/>
                <w:i/>
                <w:sz w:val="20"/>
                <w:szCs w:val="20"/>
                <w:u w:val="single"/>
              </w:rPr>
              <w:t>Politica fiscale agevolata per le flotte aziendali elettriche di categoria M1 e fasce emissive 0- 20 e 21- 60 g CO</w:t>
            </w:r>
            <w:r w:rsidRPr="007061E6">
              <w:rPr>
                <w:rFonts w:asciiTheme="majorHAnsi" w:hAnsiTheme="majorHAnsi"/>
                <w:b/>
                <w:i/>
                <w:sz w:val="20"/>
                <w:szCs w:val="20"/>
                <w:u w:val="single"/>
                <w:vertAlign w:val="subscript"/>
              </w:rPr>
              <w:t>2</w:t>
            </w:r>
            <w:r w:rsidRPr="007061E6">
              <w:rPr>
                <w:rFonts w:asciiTheme="majorHAnsi" w:hAnsiTheme="majorHAnsi"/>
                <w:b/>
                <w:i/>
                <w:sz w:val="20"/>
                <w:szCs w:val="20"/>
                <w:u w:val="single"/>
              </w:rPr>
              <w:t>/km</w:t>
            </w:r>
          </w:p>
          <w:p w14:paraId="24AF4ADC"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Caratteristiche misura:</w:t>
            </w:r>
          </w:p>
          <w:p w14:paraId="73D79DE1" w14:textId="77777777" w:rsidR="002C2F35" w:rsidRPr="007061E6" w:rsidRDefault="002C2F35" w:rsidP="00EC4408">
            <w:pPr>
              <w:numPr>
                <w:ilvl w:val="0"/>
                <w:numId w:val="5"/>
              </w:numPr>
              <w:pBdr>
                <w:top w:val="nil"/>
                <w:left w:val="nil"/>
                <w:bottom w:val="nil"/>
                <w:right w:val="nil"/>
                <w:between w:val="nil"/>
              </w:pBdr>
              <w:spacing w:line="240" w:lineRule="auto"/>
              <w:jc w:val="both"/>
              <w:rPr>
                <w:rFonts w:asciiTheme="majorHAnsi" w:hAnsiTheme="majorHAnsi"/>
                <w:color w:val="000000"/>
                <w:sz w:val="20"/>
                <w:szCs w:val="20"/>
              </w:rPr>
            </w:pPr>
            <w:proofErr w:type="gramStart"/>
            <w:r w:rsidRPr="007061E6">
              <w:rPr>
                <w:rFonts w:asciiTheme="majorHAnsi" w:hAnsiTheme="majorHAnsi"/>
                <w:color w:val="000000"/>
                <w:sz w:val="20"/>
                <w:szCs w:val="20"/>
              </w:rPr>
              <w:t>Revisione  dei</w:t>
            </w:r>
            <w:proofErr w:type="gramEnd"/>
            <w:r w:rsidRPr="007061E6">
              <w:rPr>
                <w:rFonts w:asciiTheme="majorHAnsi" w:hAnsiTheme="majorHAnsi"/>
                <w:color w:val="000000"/>
                <w:sz w:val="20"/>
                <w:szCs w:val="20"/>
              </w:rPr>
              <w:t xml:space="preserve"> meccanismi di deducibilità per le flotte aziendali e P.IVA a uso promiscuo e non esclusivamente strumentale all’attività di impresa, per leasing, acquisto o noleggio di un veicolo a zero (0-20) e basse emissioni (21-60), rispettivamente nella misura del 100% e dell’80% dell’ammortamento o del costo operativo del noleggio, alzando inoltre i costi massimi deducibili;</w:t>
            </w:r>
          </w:p>
          <w:p w14:paraId="31D0B747" w14:textId="77777777" w:rsidR="002C2F35" w:rsidRPr="007061E6" w:rsidRDefault="002C2F35" w:rsidP="00EC4408">
            <w:pPr>
              <w:numPr>
                <w:ilvl w:val="0"/>
                <w:numId w:val="5"/>
              </w:numPr>
              <w:pBdr>
                <w:top w:val="nil"/>
                <w:left w:val="nil"/>
                <w:bottom w:val="nil"/>
                <w:right w:val="nil"/>
                <w:between w:val="nil"/>
              </w:pBdr>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Riduzione tasse sui fringe benefit per fascia 21-60;</w:t>
            </w:r>
          </w:p>
          <w:p w14:paraId="2F13E00F" w14:textId="77777777" w:rsidR="002C2F35" w:rsidRPr="007061E6" w:rsidRDefault="002C2F35" w:rsidP="00EC4408">
            <w:pPr>
              <w:numPr>
                <w:ilvl w:val="0"/>
                <w:numId w:val="5"/>
              </w:numPr>
              <w:pBdr>
                <w:top w:val="nil"/>
                <w:left w:val="nil"/>
                <w:bottom w:val="nil"/>
                <w:right w:val="nil"/>
                <w:between w:val="nil"/>
              </w:pBdr>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Azzeramento tasse sui fringe benefit per fascia 0-20.</w:t>
            </w:r>
          </w:p>
          <w:p w14:paraId="28875AF2" w14:textId="77777777" w:rsidR="002C2F35" w:rsidRPr="007061E6" w:rsidRDefault="002C2F35" w:rsidP="004C0100">
            <w:pPr>
              <w:pBdr>
                <w:top w:val="nil"/>
                <w:left w:val="nil"/>
                <w:bottom w:val="nil"/>
                <w:right w:val="nil"/>
                <w:between w:val="nil"/>
              </w:pBdr>
              <w:jc w:val="both"/>
              <w:rPr>
                <w:rFonts w:asciiTheme="majorHAnsi" w:hAnsiTheme="majorHAnsi"/>
                <w:color w:val="000000"/>
                <w:sz w:val="20"/>
                <w:szCs w:val="20"/>
              </w:rPr>
            </w:pPr>
          </w:p>
          <w:p w14:paraId="6BB8B1EE" w14:textId="77777777" w:rsidR="002C2F35" w:rsidRPr="007061E6" w:rsidRDefault="002C2F35" w:rsidP="004C0100">
            <w:pPr>
              <w:pBdr>
                <w:top w:val="nil"/>
                <w:left w:val="nil"/>
                <w:bottom w:val="nil"/>
                <w:right w:val="nil"/>
                <w:between w:val="nil"/>
              </w:pBdr>
              <w:jc w:val="both"/>
              <w:rPr>
                <w:rFonts w:asciiTheme="majorHAnsi" w:hAnsiTheme="majorHAnsi"/>
                <w:color w:val="000000"/>
                <w:sz w:val="20"/>
                <w:szCs w:val="20"/>
              </w:rPr>
            </w:pPr>
            <w:r w:rsidRPr="007061E6">
              <w:rPr>
                <w:rFonts w:asciiTheme="majorHAnsi" w:hAnsiTheme="majorHAnsi"/>
                <w:color w:val="000000"/>
                <w:sz w:val="20"/>
                <w:szCs w:val="20"/>
              </w:rPr>
              <w:t>Risultati attesi alla fine del</w:t>
            </w:r>
            <w:r w:rsidRPr="007061E6">
              <w:rPr>
                <w:rFonts w:asciiTheme="majorHAnsi" w:hAnsiTheme="majorHAnsi"/>
                <w:sz w:val="20"/>
                <w:szCs w:val="20"/>
              </w:rPr>
              <w:t>l’arco temporale</w:t>
            </w:r>
            <w:r w:rsidRPr="007061E6">
              <w:rPr>
                <w:rFonts w:asciiTheme="majorHAnsi" w:hAnsiTheme="majorHAnsi"/>
                <w:color w:val="000000"/>
                <w:sz w:val="20"/>
                <w:szCs w:val="20"/>
              </w:rPr>
              <w:t xml:space="preserve">: </w:t>
            </w:r>
          </w:p>
          <w:p w14:paraId="278EE442" w14:textId="77777777" w:rsidR="002C2F35" w:rsidRPr="007061E6" w:rsidRDefault="002C2F35" w:rsidP="00EC4408">
            <w:pPr>
              <w:numPr>
                <w:ilvl w:val="0"/>
                <w:numId w:val="7"/>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 xml:space="preserve">243.000 BEV acquistate + </w:t>
            </w:r>
            <w:proofErr w:type="gramStart"/>
            <w:r w:rsidRPr="007061E6">
              <w:rPr>
                <w:rFonts w:asciiTheme="majorHAnsi" w:hAnsiTheme="majorHAnsi"/>
                <w:sz w:val="20"/>
                <w:szCs w:val="20"/>
              </w:rPr>
              <w:t>546.000  BEV</w:t>
            </w:r>
            <w:proofErr w:type="gramEnd"/>
            <w:r w:rsidRPr="007061E6">
              <w:rPr>
                <w:rFonts w:asciiTheme="majorHAnsi" w:hAnsiTheme="majorHAnsi"/>
                <w:sz w:val="20"/>
                <w:szCs w:val="20"/>
              </w:rPr>
              <w:t xml:space="preserve"> a noleggio;</w:t>
            </w:r>
          </w:p>
          <w:p w14:paraId="2FD787ED" w14:textId="77777777" w:rsidR="002C2F35" w:rsidRPr="007061E6" w:rsidRDefault="002C2F35" w:rsidP="00EC4408">
            <w:pPr>
              <w:numPr>
                <w:ilvl w:val="0"/>
                <w:numId w:val="7"/>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 xml:space="preserve">42.000 PHEV acquistate + </w:t>
            </w:r>
            <w:proofErr w:type="gramStart"/>
            <w:r w:rsidRPr="007061E6">
              <w:rPr>
                <w:rFonts w:asciiTheme="majorHAnsi" w:hAnsiTheme="majorHAnsi"/>
                <w:sz w:val="20"/>
                <w:szCs w:val="20"/>
              </w:rPr>
              <w:t>226.000  PHEV</w:t>
            </w:r>
            <w:proofErr w:type="gramEnd"/>
            <w:r w:rsidRPr="007061E6">
              <w:rPr>
                <w:rFonts w:asciiTheme="majorHAnsi" w:hAnsiTheme="majorHAnsi"/>
                <w:sz w:val="20"/>
                <w:szCs w:val="20"/>
              </w:rPr>
              <w:t xml:space="preserve"> a noleggio.</w:t>
            </w:r>
          </w:p>
          <w:p w14:paraId="7A8661AA" w14:textId="77777777" w:rsidR="002C2F35" w:rsidRPr="007061E6" w:rsidRDefault="002C2F35" w:rsidP="004C0100">
            <w:pPr>
              <w:pBdr>
                <w:top w:val="nil"/>
                <w:left w:val="nil"/>
                <w:bottom w:val="nil"/>
                <w:right w:val="nil"/>
                <w:between w:val="nil"/>
              </w:pBdr>
              <w:jc w:val="both"/>
              <w:rPr>
                <w:rFonts w:asciiTheme="majorHAnsi" w:hAnsiTheme="majorHAnsi"/>
                <w:b/>
                <w:color w:val="FF0000"/>
                <w:sz w:val="20"/>
                <w:szCs w:val="20"/>
              </w:rPr>
            </w:pPr>
          </w:p>
          <w:p w14:paraId="105DBD68" w14:textId="77777777" w:rsidR="002C2F35" w:rsidRPr="007061E6" w:rsidRDefault="002C2F35" w:rsidP="004C0100">
            <w:pPr>
              <w:pBdr>
                <w:top w:val="nil"/>
                <w:left w:val="nil"/>
                <w:bottom w:val="nil"/>
                <w:right w:val="nil"/>
                <w:between w:val="nil"/>
              </w:pBdr>
              <w:jc w:val="both"/>
              <w:rPr>
                <w:rFonts w:asciiTheme="majorHAnsi" w:hAnsiTheme="majorHAnsi"/>
                <w:color w:val="000000"/>
                <w:sz w:val="20"/>
                <w:szCs w:val="20"/>
              </w:rPr>
            </w:pPr>
            <w:r w:rsidRPr="007061E6">
              <w:rPr>
                <w:rFonts w:asciiTheme="majorHAnsi" w:hAnsiTheme="majorHAnsi"/>
                <w:color w:val="000000"/>
                <w:sz w:val="20"/>
                <w:szCs w:val="20"/>
              </w:rPr>
              <w:t>Altro:</w:t>
            </w:r>
          </w:p>
          <w:p w14:paraId="773801FD" w14:textId="77777777" w:rsidR="002C2F35" w:rsidRPr="007061E6" w:rsidRDefault="002C2F35" w:rsidP="00EC4408">
            <w:pPr>
              <w:numPr>
                <w:ilvl w:val="0"/>
                <w:numId w:val="5"/>
              </w:numPr>
              <w:pBdr>
                <w:top w:val="nil"/>
                <w:left w:val="nil"/>
                <w:bottom w:val="nil"/>
                <w:right w:val="nil"/>
                <w:between w:val="nil"/>
              </w:pBdr>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Scheda componente attuale PNRR (29/12): nessuna  (potenzialmente M2C2).</w:t>
            </w:r>
          </w:p>
        </w:tc>
        <w:tc>
          <w:tcPr>
            <w:tcW w:w="1434" w:type="dxa"/>
          </w:tcPr>
          <w:p w14:paraId="3AB1447E"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TUIR</w:t>
            </w:r>
          </w:p>
          <w:p w14:paraId="3D9D59BC" w14:textId="77777777" w:rsidR="002C2F35" w:rsidRPr="007061E6" w:rsidRDefault="002C2F35" w:rsidP="004C0100">
            <w:pPr>
              <w:jc w:val="center"/>
              <w:rPr>
                <w:rFonts w:asciiTheme="majorHAnsi" w:hAnsiTheme="majorHAnsi"/>
                <w:b/>
                <w:i/>
                <w:sz w:val="20"/>
                <w:szCs w:val="20"/>
              </w:rPr>
            </w:pPr>
          </w:p>
          <w:p w14:paraId="58885178"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 xml:space="preserve">Legge di Bilancio 2020  </w:t>
            </w:r>
          </w:p>
        </w:tc>
        <w:tc>
          <w:tcPr>
            <w:tcW w:w="1404" w:type="dxa"/>
          </w:tcPr>
          <w:p w14:paraId="00AA5013" w14:textId="77777777" w:rsidR="002C2F35" w:rsidRPr="007061E6" w:rsidRDefault="002C2F35" w:rsidP="004C0100">
            <w:pPr>
              <w:jc w:val="center"/>
              <w:rPr>
                <w:rFonts w:asciiTheme="majorHAnsi" w:hAnsiTheme="majorHAnsi"/>
                <w:b/>
                <w:i/>
                <w:sz w:val="24"/>
                <w:szCs w:val="24"/>
              </w:rPr>
            </w:pPr>
            <w:r w:rsidRPr="007061E6">
              <w:rPr>
                <w:rFonts w:asciiTheme="majorHAnsi" w:hAnsiTheme="majorHAnsi"/>
                <w:b/>
                <w:i/>
                <w:sz w:val="20"/>
                <w:szCs w:val="20"/>
              </w:rPr>
              <w:t>2022-2026</w:t>
            </w:r>
          </w:p>
        </w:tc>
        <w:tc>
          <w:tcPr>
            <w:tcW w:w="1147" w:type="dxa"/>
          </w:tcPr>
          <w:p w14:paraId="20CE9676" w14:textId="77777777" w:rsidR="002C2F35" w:rsidRPr="007061E6" w:rsidRDefault="002C2F35" w:rsidP="004C0100">
            <w:pPr>
              <w:jc w:val="center"/>
              <w:rPr>
                <w:rFonts w:asciiTheme="majorHAnsi" w:hAnsiTheme="majorHAnsi"/>
                <w:b/>
                <w:sz w:val="20"/>
                <w:szCs w:val="20"/>
              </w:rPr>
            </w:pPr>
            <w:r w:rsidRPr="007061E6">
              <w:rPr>
                <w:rFonts w:asciiTheme="majorHAnsi" w:hAnsiTheme="majorHAnsi"/>
                <w:b/>
                <w:sz w:val="20"/>
                <w:szCs w:val="20"/>
              </w:rPr>
              <w:t>2,70</w:t>
            </w:r>
          </w:p>
        </w:tc>
      </w:tr>
      <w:tr w:rsidR="002C2F35" w:rsidRPr="007061E6" w14:paraId="0B7A61AC" w14:textId="77777777" w:rsidTr="007061E6">
        <w:trPr>
          <w:trHeight w:val="1533"/>
        </w:trPr>
        <w:tc>
          <w:tcPr>
            <w:tcW w:w="6080" w:type="dxa"/>
          </w:tcPr>
          <w:p w14:paraId="2B25502D"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D.4</w:t>
            </w:r>
          </w:p>
          <w:p w14:paraId="51818DA0" w14:textId="77777777" w:rsidR="002C2F35" w:rsidRPr="007061E6" w:rsidRDefault="002C2F35" w:rsidP="004C0100">
            <w:pPr>
              <w:pBdr>
                <w:top w:val="nil"/>
                <w:left w:val="nil"/>
                <w:bottom w:val="nil"/>
                <w:right w:val="nil"/>
                <w:between w:val="nil"/>
              </w:pBdr>
              <w:rPr>
                <w:rFonts w:asciiTheme="majorHAnsi" w:hAnsiTheme="majorHAnsi"/>
                <w:i/>
                <w:color w:val="000000"/>
                <w:sz w:val="20"/>
                <w:szCs w:val="20"/>
                <w:u w:val="single"/>
              </w:rPr>
            </w:pPr>
            <w:r w:rsidRPr="007061E6">
              <w:rPr>
                <w:rFonts w:asciiTheme="majorHAnsi" w:hAnsiTheme="majorHAnsi"/>
                <w:b/>
                <w:i/>
                <w:color w:val="000000"/>
                <w:sz w:val="20"/>
                <w:szCs w:val="20"/>
                <w:u w:val="single"/>
              </w:rPr>
              <w:t xml:space="preserve">Iva al 10% per servizi di carsharing elettrico </w:t>
            </w:r>
          </w:p>
          <w:p w14:paraId="722308F4"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Caratteristiche misura:</w:t>
            </w:r>
          </w:p>
          <w:p w14:paraId="451B6849" w14:textId="77777777" w:rsidR="002C2F35" w:rsidRPr="007061E6" w:rsidRDefault="002C2F35" w:rsidP="00EC4408">
            <w:pPr>
              <w:numPr>
                <w:ilvl w:val="0"/>
                <w:numId w:val="17"/>
              </w:numPr>
              <w:spacing w:line="240" w:lineRule="auto"/>
              <w:jc w:val="both"/>
              <w:rPr>
                <w:rFonts w:asciiTheme="majorHAnsi" w:hAnsiTheme="majorHAnsi"/>
                <w:sz w:val="20"/>
                <w:szCs w:val="20"/>
              </w:rPr>
            </w:pPr>
            <w:r w:rsidRPr="007061E6">
              <w:rPr>
                <w:rFonts w:asciiTheme="majorHAnsi" w:hAnsiTheme="majorHAnsi"/>
                <w:sz w:val="20"/>
                <w:szCs w:val="20"/>
                <w:highlight w:val="white"/>
              </w:rPr>
              <w:t>Applicazione dell’Iva agevolata al 10% sul corrispettivo dovuto all’utilizzo del servizio di carsharing e scooter sharing elettrico da parte degli utenti;</w:t>
            </w:r>
          </w:p>
          <w:p w14:paraId="477C84DF" w14:textId="77777777" w:rsidR="002C2F35" w:rsidRPr="007061E6" w:rsidRDefault="002C2F35" w:rsidP="004C0100">
            <w:pPr>
              <w:ind w:left="720"/>
              <w:jc w:val="both"/>
              <w:rPr>
                <w:rFonts w:asciiTheme="majorHAnsi" w:hAnsiTheme="majorHAnsi"/>
                <w:sz w:val="20"/>
                <w:szCs w:val="20"/>
              </w:rPr>
            </w:pPr>
          </w:p>
          <w:p w14:paraId="0F023C60" w14:textId="77777777" w:rsidR="002C2F35" w:rsidRPr="007061E6" w:rsidRDefault="002C2F35" w:rsidP="004C0100">
            <w:pPr>
              <w:jc w:val="both"/>
              <w:rPr>
                <w:rFonts w:asciiTheme="majorHAnsi" w:hAnsiTheme="majorHAnsi"/>
                <w:sz w:val="20"/>
                <w:szCs w:val="20"/>
              </w:rPr>
            </w:pPr>
            <w:r w:rsidRPr="007061E6">
              <w:rPr>
                <w:rFonts w:asciiTheme="majorHAnsi" w:hAnsiTheme="majorHAnsi"/>
                <w:sz w:val="20"/>
                <w:szCs w:val="20"/>
              </w:rPr>
              <w:t xml:space="preserve">Risultati attesi alla fine dell’arco temporale: </w:t>
            </w:r>
          </w:p>
          <w:p w14:paraId="63D2EEC9" w14:textId="77777777" w:rsidR="002C2F35" w:rsidRPr="007061E6" w:rsidRDefault="002C2F35" w:rsidP="00EC4408">
            <w:pPr>
              <w:numPr>
                <w:ilvl w:val="0"/>
                <w:numId w:val="24"/>
              </w:numPr>
              <w:spacing w:line="240" w:lineRule="auto"/>
              <w:jc w:val="both"/>
              <w:rPr>
                <w:rFonts w:asciiTheme="majorHAnsi" w:hAnsiTheme="majorHAnsi"/>
                <w:sz w:val="20"/>
                <w:szCs w:val="20"/>
              </w:rPr>
            </w:pPr>
            <w:r w:rsidRPr="007061E6">
              <w:rPr>
                <w:rFonts w:asciiTheme="majorHAnsi" w:hAnsiTheme="majorHAnsi"/>
                <w:sz w:val="20"/>
                <w:szCs w:val="20"/>
              </w:rPr>
              <w:t>13.300 mezzi elettrici (auto + scooter) per sharing a zero emissioni;</w:t>
            </w:r>
          </w:p>
          <w:p w14:paraId="2E1F92E7" w14:textId="77777777" w:rsidR="002C2F35" w:rsidRPr="007061E6" w:rsidRDefault="002C2F35" w:rsidP="00EC4408">
            <w:pPr>
              <w:numPr>
                <w:ilvl w:val="0"/>
                <w:numId w:val="24"/>
              </w:numPr>
              <w:spacing w:line="240" w:lineRule="auto"/>
              <w:jc w:val="both"/>
              <w:rPr>
                <w:rFonts w:asciiTheme="majorHAnsi" w:hAnsiTheme="majorHAnsi"/>
                <w:sz w:val="20"/>
                <w:szCs w:val="20"/>
              </w:rPr>
            </w:pPr>
            <w:r w:rsidRPr="007061E6">
              <w:rPr>
                <w:rFonts w:asciiTheme="majorHAnsi" w:hAnsiTheme="majorHAnsi"/>
                <w:sz w:val="20"/>
                <w:szCs w:val="20"/>
              </w:rPr>
              <w:t>Elettrificazione completa al 2026 di un parco auto e scooter in sharing pari a quello circolante (ICE + elettrico) nel 2019.</w:t>
            </w:r>
          </w:p>
          <w:p w14:paraId="0C536164" w14:textId="77777777" w:rsidR="002C2F35" w:rsidRPr="007061E6" w:rsidRDefault="002C2F35" w:rsidP="004C0100">
            <w:pPr>
              <w:jc w:val="both"/>
              <w:rPr>
                <w:rFonts w:asciiTheme="majorHAnsi" w:hAnsiTheme="majorHAnsi"/>
                <w:sz w:val="20"/>
                <w:szCs w:val="20"/>
              </w:rPr>
            </w:pPr>
            <w:r w:rsidRPr="007061E6">
              <w:rPr>
                <w:rFonts w:asciiTheme="majorHAnsi" w:hAnsiTheme="majorHAnsi"/>
                <w:sz w:val="20"/>
                <w:szCs w:val="20"/>
              </w:rPr>
              <w:t>Altro:</w:t>
            </w:r>
          </w:p>
          <w:p w14:paraId="75CBF904" w14:textId="77777777" w:rsidR="002C2F35" w:rsidRPr="007061E6" w:rsidRDefault="002C2F35" w:rsidP="00EC4408">
            <w:pPr>
              <w:numPr>
                <w:ilvl w:val="0"/>
                <w:numId w:val="26"/>
              </w:numPr>
              <w:spacing w:line="240" w:lineRule="auto"/>
              <w:jc w:val="both"/>
              <w:rPr>
                <w:rFonts w:asciiTheme="majorHAnsi" w:hAnsiTheme="majorHAnsi"/>
                <w:sz w:val="20"/>
                <w:szCs w:val="20"/>
              </w:rPr>
            </w:pPr>
            <w:r w:rsidRPr="007061E6">
              <w:rPr>
                <w:rFonts w:asciiTheme="majorHAnsi" w:hAnsiTheme="majorHAnsi"/>
                <w:sz w:val="20"/>
                <w:szCs w:val="20"/>
              </w:rPr>
              <w:t xml:space="preserve">Scheda componente attuale PNRR (29/12): nessuna. </w:t>
            </w:r>
          </w:p>
        </w:tc>
        <w:tc>
          <w:tcPr>
            <w:tcW w:w="1434" w:type="dxa"/>
          </w:tcPr>
          <w:p w14:paraId="2D1CF76E"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TUIVA</w:t>
            </w:r>
          </w:p>
          <w:p w14:paraId="4B4CFCDE"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DPR 481/01</w:t>
            </w:r>
          </w:p>
        </w:tc>
        <w:tc>
          <w:tcPr>
            <w:tcW w:w="1404" w:type="dxa"/>
          </w:tcPr>
          <w:p w14:paraId="638DBC8B"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2022-2026</w:t>
            </w:r>
          </w:p>
        </w:tc>
        <w:tc>
          <w:tcPr>
            <w:tcW w:w="1147" w:type="dxa"/>
          </w:tcPr>
          <w:p w14:paraId="4F870FEA" w14:textId="77777777" w:rsidR="002C2F35" w:rsidRPr="007061E6" w:rsidRDefault="002C2F35" w:rsidP="004C0100">
            <w:pPr>
              <w:jc w:val="center"/>
              <w:rPr>
                <w:rFonts w:asciiTheme="majorHAnsi" w:hAnsiTheme="majorHAnsi"/>
                <w:b/>
                <w:i/>
                <w:sz w:val="26"/>
                <w:szCs w:val="26"/>
              </w:rPr>
            </w:pPr>
            <w:r w:rsidRPr="007061E6">
              <w:rPr>
                <w:rFonts w:asciiTheme="majorHAnsi" w:hAnsiTheme="majorHAnsi"/>
                <w:b/>
                <w:i/>
                <w:sz w:val="20"/>
                <w:szCs w:val="20"/>
              </w:rPr>
              <w:t xml:space="preserve">0,11 </w:t>
            </w:r>
          </w:p>
        </w:tc>
      </w:tr>
      <w:tr w:rsidR="002C2F35" w:rsidRPr="007061E6" w14:paraId="23A1DFDB" w14:textId="77777777" w:rsidTr="007061E6">
        <w:trPr>
          <w:trHeight w:val="1533"/>
        </w:trPr>
        <w:tc>
          <w:tcPr>
            <w:tcW w:w="6080" w:type="dxa"/>
          </w:tcPr>
          <w:p w14:paraId="7101B8E8" w14:textId="77777777" w:rsidR="002C2F35" w:rsidRPr="007061E6" w:rsidRDefault="002C2F35" w:rsidP="004C0100">
            <w:pPr>
              <w:pBdr>
                <w:top w:val="nil"/>
                <w:left w:val="nil"/>
                <w:bottom w:val="nil"/>
                <w:right w:val="nil"/>
                <w:between w:val="nil"/>
              </w:pBdr>
              <w:tabs>
                <w:tab w:val="left" w:pos="3630"/>
              </w:tabs>
              <w:rPr>
                <w:rFonts w:asciiTheme="majorHAnsi" w:hAnsiTheme="majorHAnsi"/>
                <w:b/>
                <w:i/>
                <w:sz w:val="30"/>
                <w:szCs w:val="30"/>
              </w:rPr>
            </w:pPr>
            <w:r w:rsidRPr="007061E6">
              <w:rPr>
                <w:rFonts w:asciiTheme="majorHAnsi" w:hAnsiTheme="majorHAnsi"/>
                <w:b/>
                <w:i/>
                <w:sz w:val="30"/>
                <w:szCs w:val="30"/>
              </w:rPr>
              <w:t>D.5</w:t>
            </w:r>
          </w:p>
          <w:p w14:paraId="6A1F89AD" w14:textId="77777777" w:rsidR="002C2F35" w:rsidRPr="007061E6" w:rsidRDefault="002C2F35" w:rsidP="004C0100">
            <w:pPr>
              <w:pBdr>
                <w:top w:val="nil"/>
                <w:left w:val="nil"/>
                <w:bottom w:val="nil"/>
                <w:right w:val="nil"/>
                <w:between w:val="nil"/>
              </w:pBdr>
              <w:tabs>
                <w:tab w:val="left" w:pos="3630"/>
              </w:tabs>
              <w:rPr>
                <w:rFonts w:asciiTheme="majorHAnsi" w:hAnsiTheme="majorHAnsi"/>
                <w:b/>
                <w:i/>
                <w:color w:val="000000"/>
                <w:sz w:val="20"/>
                <w:szCs w:val="20"/>
                <w:u w:val="single"/>
              </w:rPr>
            </w:pPr>
            <w:r w:rsidRPr="007061E6">
              <w:rPr>
                <w:rFonts w:asciiTheme="majorHAnsi" w:hAnsiTheme="majorHAnsi"/>
                <w:b/>
                <w:i/>
                <w:color w:val="000000"/>
                <w:sz w:val="20"/>
                <w:szCs w:val="20"/>
                <w:u w:val="single"/>
              </w:rPr>
              <w:t>Prosecuzione incentivi ai veicoli elettrici di categoria N1 e inclusione de</w:t>
            </w:r>
            <w:r w:rsidRPr="007061E6">
              <w:rPr>
                <w:rFonts w:asciiTheme="majorHAnsi" w:hAnsiTheme="majorHAnsi"/>
                <w:b/>
                <w:i/>
                <w:sz w:val="20"/>
                <w:szCs w:val="20"/>
                <w:u w:val="single"/>
              </w:rPr>
              <w:t xml:space="preserve">lle categorie </w:t>
            </w:r>
            <w:r w:rsidRPr="007061E6">
              <w:rPr>
                <w:rFonts w:asciiTheme="majorHAnsi" w:hAnsiTheme="majorHAnsi"/>
                <w:b/>
                <w:i/>
                <w:color w:val="000000"/>
                <w:sz w:val="20"/>
                <w:szCs w:val="20"/>
                <w:u w:val="single"/>
              </w:rPr>
              <w:t>N2 e N3</w:t>
            </w:r>
          </w:p>
          <w:p w14:paraId="56F1932E" w14:textId="77777777" w:rsidR="002C2F35" w:rsidRPr="007061E6" w:rsidRDefault="002C2F35" w:rsidP="004C0100">
            <w:pPr>
              <w:pBdr>
                <w:top w:val="nil"/>
                <w:left w:val="nil"/>
                <w:bottom w:val="nil"/>
                <w:right w:val="nil"/>
                <w:between w:val="nil"/>
              </w:pBdr>
              <w:tabs>
                <w:tab w:val="left" w:pos="3630"/>
              </w:tabs>
              <w:rPr>
                <w:rFonts w:asciiTheme="majorHAnsi" w:hAnsiTheme="majorHAnsi"/>
                <w:color w:val="000000"/>
                <w:sz w:val="20"/>
                <w:szCs w:val="20"/>
              </w:rPr>
            </w:pPr>
            <w:r w:rsidRPr="007061E6">
              <w:rPr>
                <w:rFonts w:asciiTheme="majorHAnsi" w:hAnsiTheme="majorHAnsi"/>
                <w:color w:val="000000"/>
                <w:sz w:val="20"/>
                <w:szCs w:val="20"/>
              </w:rPr>
              <w:t>Caratteristiche misura:</w:t>
            </w:r>
          </w:p>
          <w:p w14:paraId="0CA823AE" w14:textId="77777777" w:rsidR="002C2F35" w:rsidRPr="007061E6" w:rsidRDefault="002C2F35" w:rsidP="00EC4408">
            <w:pPr>
              <w:numPr>
                <w:ilvl w:val="0"/>
                <w:numId w:val="31"/>
              </w:numPr>
              <w:pBdr>
                <w:top w:val="nil"/>
                <w:left w:val="nil"/>
                <w:bottom w:val="nil"/>
                <w:right w:val="nil"/>
                <w:between w:val="nil"/>
              </w:pBdr>
              <w:tabs>
                <w:tab w:val="left" w:pos="3630"/>
              </w:tabs>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Prosecuzione incentivi per veicoli N1 elettrici fino al 202</w:t>
            </w:r>
            <w:r w:rsidRPr="007061E6">
              <w:rPr>
                <w:rFonts w:asciiTheme="majorHAnsi" w:hAnsiTheme="majorHAnsi"/>
                <w:sz w:val="20"/>
                <w:szCs w:val="20"/>
              </w:rPr>
              <w:t>6</w:t>
            </w:r>
            <w:r w:rsidRPr="007061E6">
              <w:rPr>
                <w:rFonts w:asciiTheme="majorHAnsi" w:hAnsiTheme="majorHAnsi"/>
                <w:color w:val="000000"/>
                <w:sz w:val="20"/>
                <w:szCs w:val="20"/>
              </w:rPr>
              <w:t>;</w:t>
            </w:r>
          </w:p>
          <w:p w14:paraId="296D8721" w14:textId="77777777" w:rsidR="002C2F35" w:rsidRPr="007061E6" w:rsidRDefault="002C2F35" w:rsidP="00EC4408">
            <w:pPr>
              <w:numPr>
                <w:ilvl w:val="0"/>
                <w:numId w:val="31"/>
              </w:numPr>
              <w:pBdr>
                <w:top w:val="nil"/>
                <w:left w:val="nil"/>
                <w:bottom w:val="nil"/>
                <w:right w:val="nil"/>
                <w:between w:val="nil"/>
              </w:pBdr>
              <w:tabs>
                <w:tab w:val="left" w:pos="3630"/>
              </w:tabs>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Inclusione delle categorie N2 e N3;</w:t>
            </w:r>
          </w:p>
          <w:p w14:paraId="69E5CA50" w14:textId="77777777" w:rsidR="002C2F35" w:rsidRPr="007061E6" w:rsidRDefault="002C2F35" w:rsidP="00EC4408">
            <w:pPr>
              <w:numPr>
                <w:ilvl w:val="0"/>
                <w:numId w:val="31"/>
              </w:numPr>
              <w:pBdr>
                <w:top w:val="nil"/>
                <w:left w:val="nil"/>
                <w:bottom w:val="nil"/>
                <w:right w:val="nil"/>
                <w:between w:val="nil"/>
              </w:pBdr>
              <w:tabs>
                <w:tab w:val="left" w:pos="3630"/>
              </w:tabs>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Utilizzo dei fondi NGEU solo per mezzi N1, N2 e N3 a zero emissioni</w:t>
            </w:r>
            <w:r w:rsidRPr="007061E6">
              <w:rPr>
                <w:rFonts w:asciiTheme="majorHAnsi" w:hAnsiTheme="majorHAnsi"/>
                <w:sz w:val="20"/>
                <w:szCs w:val="20"/>
              </w:rPr>
              <w:t xml:space="preserve"> (esclusione ibridi e ICE);</w:t>
            </w:r>
          </w:p>
          <w:p w14:paraId="2F8F4A49" w14:textId="77777777" w:rsidR="002C2F35" w:rsidRPr="007061E6" w:rsidRDefault="002C2F35" w:rsidP="00EC4408">
            <w:pPr>
              <w:numPr>
                <w:ilvl w:val="0"/>
                <w:numId w:val="31"/>
              </w:numPr>
              <w:pBdr>
                <w:top w:val="nil"/>
                <w:left w:val="nil"/>
                <w:bottom w:val="nil"/>
                <w:right w:val="nil"/>
                <w:between w:val="nil"/>
              </w:pBdr>
              <w:tabs>
                <w:tab w:val="left" w:pos="3630"/>
              </w:tabs>
              <w:spacing w:line="240" w:lineRule="auto"/>
              <w:jc w:val="both"/>
              <w:rPr>
                <w:rFonts w:asciiTheme="majorHAnsi" w:hAnsiTheme="majorHAnsi"/>
                <w:sz w:val="20"/>
                <w:szCs w:val="20"/>
              </w:rPr>
            </w:pPr>
            <w:r w:rsidRPr="007061E6">
              <w:rPr>
                <w:rFonts w:asciiTheme="majorHAnsi" w:hAnsiTheme="majorHAnsi"/>
                <w:sz w:val="20"/>
                <w:szCs w:val="20"/>
              </w:rPr>
              <w:t>Incentivo N1 pari a quello previsto dalla Legge di Bilancio 2021;</w:t>
            </w:r>
          </w:p>
          <w:p w14:paraId="2721A997" w14:textId="77777777" w:rsidR="002C2F35" w:rsidRPr="007061E6" w:rsidRDefault="002C2F35" w:rsidP="00EC4408">
            <w:pPr>
              <w:numPr>
                <w:ilvl w:val="0"/>
                <w:numId w:val="31"/>
              </w:numPr>
              <w:pBdr>
                <w:top w:val="nil"/>
                <w:left w:val="nil"/>
                <w:bottom w:val="nil"/>
                <w:right w:val="nil"/>
                <w:between w:val="nil"/>
              </w:pBdr>
              <w:tabs>
                <w:tab w:val="left" w:pos="3630"/>
              </w:tabs>
              <w:spacing w:line="240" w:lineRule="auto"/>
              <w:jc w:val="both"/>
              <w:rPr>
                <w:rFonts w:asciiTheme="majorHAnsi" w:hAnsiTheme="majorHAnsi"/>
                <w:sz w:val="20"/>
                <w:szCs w:val="20"/>
              </w:rPr>
            </w:pPr>
            <w:r w:rsidRPr="007061E6">
              <w:rPr>
                <w:rFonts w:asciiTheme="majorHAnsi" w:hAnsiTheme="majorHAnsi"/>
                <w:sz w:val="20"/>
                <w:szCs w:val="20"/>
              </w:rPr>
              <w:t>Incentivo N2 pari a 16 k€ e 12 k€ rispettivamente con e senza rottamazione di un veicolo di categoria N;</w:t>
            </w:r>
          </w:p>
          <w:p w14:paraId="5173BBE1" w14:textId="77777777" w:rsidR="002C2F35" w:rsidRPr="007061E6" w:rsidRDefault="002C2F35" w:rsidP="00EC4408">
            <w:pPr>
              <w:numPr>
                <w:ilvl w:val="0"/>
                <w:numId w:val="31"/>
              </w:numPr>
              <w:tabs>
                <w:tab w:val="left" w:pos="3630"/>
              </w:tabs>
              <w:spacing w:line="240" w:lineRule="auto"/>
              <w:jc w:val="both"/>
              <w:rPr>
                <w:rFonts w:asciiTheme="majorHAnsi" w:hAnsiTheme="majorHAnsi"/>
                <w:sz w:val="20"/>
                <w:szCs w:val="20"/>
              </w:rPr>
            </w:pPr>
            <w:r w:rsidRPr="007061E6">
              <w:rPr>
                <w:rFonts w:asciiTheme="majorHAnsi" w:hAnsiTheme="majorHAnsi"/>
                <w:sz w:val="20"/>
                <w:szCs w:val="20"/>
              </w:rPr>
              <w:lastRenderedPageBreak/>
              <w:t>Incentivo N3 pari a 22k€ e 18 k€ rispettivamente con e senza rottamazione di un veicolo di categoria N.</w:t>
            </w:r>
          </w:p>
          <w:p w14:paraId="5FFB7F27" w14:textId="77777777" w:rsidR="002C2F35" w:rsidRPr="007061E6" w:rsidRDefault="002C2F35" w:rsidP="004C0100">
            <w:pPr>
              <w:pBdr>
                <w:top w:val="nil"/>
                <w:left w:val="nil"/>
                <w:bottom w:val="nil"/>
                <w:right w:val="nil"/>
                <w:between w:val="nil"/>
              </w:pBdr>
              <w:tabs>
                <w:tab w:val="left" w:pos="3630"/>
              </w:tabs>
              <w:jc w:val="both"/>
              <w:rPr>
                <w:rFonts w:asciiTheme="majorHAnsi" w:hAnsiTheme="majorHAnsi"/>
                <w:color w:val="000000"/>
                <w:sz w:val="20"/>
                <w:szCs w:val="20"/>
              </w:rPr>
            </w:pPr>
          </w:p>
          <w:p w14:paraId="4E49E1E5" w14:textId="77777777" w:rsidR="002C2F35" w:rsidRPr="007061E6" w:rsidRDefault="002C2F35" w:rsidP="004C0100">
            <w:pPr>
              <w:pBdr>
                <w:top w:val="nil"/>
                <w:left w:val="nil"/>
                <w:bottom w:val="nil"/>
                <w:right w:val="nil"/>
                <w:between w:val="nil"/>
              </w:pBdr>
              <w:tabs>
                <w:tab w:val="left" w:pos="3630"/>
              </w:tabs>
              <w:jc w:val="both"/>
              <w:rPr>
                <w:rFonts w:asciiTheme="majorHAnsi" w:hAnsiTheme="majorHAnsi"/>
                <w:sz w:val="20"/>
                <w:szCs w:val="20"/>
              </w:rPr>
            </w:pPr>
            <w:r w:rsidRPr="007061E6">
              <w:rPr>
                <w:rFonts w:asciiTheme="majorHAnsi" w:hAnsiTheme="majorHAnsi"/>
                <w:color w:val="000000"/>
                <w:sz w:val="20"/>
                <w:szCs w:val="20"/>
              </w:rPr>
              <w:t>Risultati attesi alla fine del</w:t>
            </w:r>
            <w:r w:rsidRPr="007061E6">
              <w:rPr>
                <w:rFonts w:asciiTheme="majorHAnsi" w:hAnsiTheme="majorHAnsi"/>
                <w:sz w:val="20"/>
                <w:szCs w:val="20"/>
              </w:rPr>
              <w:t>l’arc</w:t>
            </w:r>
            <w:r w:rsidRPr="007061E6">
              <w:rPr>
                <w:rFonts w:asciiTheme="majorHAnsi" w:hAnsiTheme="majorHAnsi"/>
                <w:color w:val="000000"/>
                <w:sz w:val="20"/>
                <w:szCs w:val="20"/>
              </w:rPr>
              <w:t xml:space="preserve">o temporale: </w:t>
            </w:r>
          </w:p>
          <w:p w14:paraId="036BE929" w14:textId="57DD2654" w:rsidR="002C2F35" w:rsidRPr="007061E6" w:rsidRDefault="001B2C41" w:rsidP="00EC4408">
            <w:pPr>
              <w:numPr>
                <w:ilvl w:val="0"/>
                <w:numId w:val="40"/>
              </w:numPr>
              <w:pBdr>
                <w:top w:val="nil"/>
                <w:left w:val="nil"/>
                <w:bottom w:val="nil"/>
                <w:right w:val="nil"/>
                <w:between w:val="nil"/>
              </w:pBdr>
              <w:tabs>
                <w:tab w:val="left" w:pos="3630"/>
              </w:tabs>
              <w:spacing w:line="240" w:lineRule="auto"/>
              <w:jc w:val="both"/>
              <w:rPr>
                <w:rFonts w:asciiTheme="majorHAnsi" w:hAnsiTheme="majorHAnsi"/>
                <w:color w:val="000000"/>
                <w:sz w:val="20"/>
                <w:szCs w:val="20"/>
              </w:rPr>
            </w:pPr>
            <w:r>
              <w:rPr>
                <w:rFonts w:asciiTheme="majorHAnsi" w:hAnsiTheme="majorHAnsi"/>
                <w:sz w:val="20"/>
                <w:szCs w:val="20"/>
              </w:rPr>
              <w:t>Ulteriori 10</w:t>
            </w:r>
            <w:r w:rsidR="002C2F35" w:rsidRPr="007061E6">
              <w:rPr>
                <w:rFonts w:asciiTheme="majorHAnsi" w:hAnsiTheme="majorHAnsi"/>
                <w:sz w:val="20"/>
                <w:szCs w:val="20"/>
              </w:rPr>
              <w:t>0.000 veicoli N (N1 + N2 + N3) elettrici;</w:t>
            </w:r>
          </w:p>
          <w:p w14:paraId="5DDC6AA3" w14:textId="77777777" w:rsidR="002C2F35" w:rsidRPr="007061E6" w:rsidRDefault="002C2F35" w:rsidP="00EC4408">
            <w:pPr>
              <w:numPr>
                <w:ilvl w:val="0"/>
                <w:numId w:val="40"/>
              </w:numPr>
              <w:pBdr>
                <w:top w:val="nil"/>
                <w:left w:val="nil"/>
                <w:bottom w:val="nil"/>
                <w:right w:val="nil"/>
                <w:between w:val="nil"/>
              </w:pBdr>
              <w:tabs>
                <w:tab w:val="left" w:pos="3630"/>
              </w:tabs>
              <w:spacing w:line="240" w:lineRule="auto"/>
              <w:jc w:val="both"/>
              <w:rPr>
                <w:rFonts w:asciiTheme="majorHAnsi" w:hAnsiTheme="majorHAnsi"/>
                <w:sz w:val="20"/>
                <w:szCs w:val="20"/>
              </w:rPr>
            </w:pPr>
            <w:r w:rsidRPr="007061E6">
              <w:rPr>
                <w:rFonts w:asciiTheme="majorHAnsi" w:hAnsiTheme="majorHAnsi"/>
                <w:sz w:val="20"/>
                <w:szCs w:val="20"/>
              </w:rPr>
              <w:t xml:space="preserve">Immatricolazioni veicoli N elettrici al 2026 &gt; 10% delle immatricolazioni totali dei veicoli N al 2026. </w:t>
            </w:r>
          </w:p>
          <w:p w14:paraId="6BF3D783" w14:textId="77777777" w:rsidR="002C2F35" w:rsidRPr="007061E6" w:rsidRDefault="002C2F35" w:rsidP="004C0100">
            <w:pPr>
              <w:pBdr>
                <w:top w:val="nil"/>
                <w:left w:val="nil"/>
                <w:bottom w:val="nil"/>
                <w:right w:val="nil"/>
                <w:between w:val="nil"/>
              </w:pBdr>
              <w:tabs>
                <w:tab w:val="left" w:pos="3630"/>
              </w:tabs>
              <w:jc w:val="both"/>
              <w:rPr>
                <w:rFonts w:asciiTheme="majorHAnsi" w:hAnsiTheme="majorHAnsi"/>
                <w:color w:val="000000"/>
                <w:sz w:val="20"/>
                <w:szCs w:val="20"/>
              </w:rPr>
            </w:pPr>
            <w:r w:rsidRPr="007061E6">
              <w:rPr>
                <w:rFonts w:asciiTheme="majorHAnsi" w:hAnsiTheme="majorHAnsi"/>
                <w:color w:val="000000"/>
                <w:sz w:val="20"/>
                <w:szCs w:val="20"/>
              </w:rPr>
              <w:t>Altro:</w:t>
            </w:r>
          </w:p>
          <w:p w14:paraId="049FB6CD" w14:textId="77777777" w:rsidR="002C2F35" w:rsidRPr="007061E6" w:rsidRDefault="002C2F35" w:rsidP="00EC4408">
            <w:pPr>
              <w:numPr>
                <w:ilvl w:val="0"/>
                <w:numId w:val="21"/>
              </w:numPr>
              <w:pBdr>
                <w:top w:val="nil"/>
                <w:left w:val="nil"/>
                <w:bottom w:val="nil"/>
                <w:right w:val="nil"/>
                <w:between w:val="nil"/>
              </w:pBdr>
              <w:tabs>
                <w:tab w:val="left" w:pos="3630"/>
              </w:tabs>
              <w:spacing w:line="240" w:lineRule="auto"/>
              <w:jc w:val="both"/>
              <w:rPr>
                <w:rFonts w:asciiTheme="majorHAnsi" w:hAnsiTheme="majorHAnsi"/>
                <w:color w:val="000000"/>
                <w:sz w:val="20"/>
                <w:szCs w:val="20"/>
              </w:rPr>
            </w:pPr>
            <w:r w:rsidRPr="007061E6">
              <w:rPr>
                <w:rFonts w:asciiTheme="majorHAnsi" w:hAnsiTheme="majorHAnsi"/>
                <w:color w:val="000000"/>
                <w:sz w:val="20"/>
                <w:szCs w:val="20"/>
              </w:rPr>
              <w:t>Scheda componente attuale PNRR (29/12): M2C2.</w:t>
            </w:r>
          </w:p>
        </w:tc>
        <w:tc>
          <w:tcPr>
            <w:tcW w:w="1434" w:type="dxa"/>
          </w:tcPr>
          <w:p w14:paraId="7E3493D6"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lastRenderedPageBreak/>
              <w:t>Legge di Bilancio 2021</w:t>
            </w:r>
          </w:p>
        </w:tc>
        <w:tc>
          <w:tcPr>
            <w:tcW w:w="1404" w:type="dxa"/>
            <w:shd w:val="clear" w:color="auto" w:fill="FFFFFF" w:themeFill="background1"/>
          </w:tcPr>
          <w:p w14:paraId="42186FE1"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2022-2026</w:t>
            </w:r>
          </w:p>
        </w:tc>
        <w:tc>
          <w:tcPr>
            <w:tcW w:w="1147" w:type="dxa"/>
          </w:tcPr>
          <w:p w14:paraId="3E88DD62" w14:textId="02D9433B" w:rsidR="002C2F35" w:rsidRPr="007061E6" w:rsidRDefault="008B6E4A" w:rsidP="008B6E4A">
            <w:pPr>
              <w:jc w:val="center"/>
              <w:rPr>
                <w:rFonts w:asciiTheme="majorHAnsi" w:hAnsiTheme="majorHAnsi"/>
                <w:b/>
                <w:sz w:val="20"/>
                <w:szCs w:val="20"/>
              </w:rPr>
            </w:pPr>
            <w:r w:rsidRPr="00C13528">
              <w:rPr>
                <w:rFonts w:asciiTheme="majorHAnsi" w:hAnsiTheme="majorHAnsi"/>
                <w:b/>
                <w:i/>
                <w:sz w:val="20"/>
                <w:szCs w:val="20"/>
              </w:rPr>
              <w:t>1,00</w:t>
            </w:r>
          </w:p>
        </w:tc>
      </w:tr>
      <w:tr w:rsidR="002C2F35" w:rsidRPr="007061E6" w14:paraId="4480FF39" w14:textId="77777777" w:rsidTr="007061E6">
        <w:trPr>
          <w:trHeight w:val="420"/>
        </w:trPr>
        <w:tc>
          <w:tcPr>
            <w:tcW w:w="6080" w:type="dxa"/>
          </w:tcPr>
          <w:p w14:paraId="5570B3C1" w14:textId="77777777" w:rsidR="002C2F35" w:rsidRPr="007061E6" w:rsidRDefault="002C2F35" w:rsidP="004C0100">
            <w:pPr>
              <w:pBdr>
                <w:top w:val="nil"/>
                <w:left w:val="nil"/>
                <w:bottom w:val="nil"/>
                <w:right w:val="nil"/>
                <w:between w:val="nil"/>
              </w:pBdr>
              <w:tabs>
                <w:tab w:val="left" w:pos="3630"/>
              </w:tabs>
              <w:rPr>
                <w:rFonts w:asciiTheme="majorHAnsi" w:hAnsiTheme="majorHAnsi"/>
                <w:b/>
                <w:i/>
                <w:sz w:val="20"/>
                <w:szCs w:val="20"/>
              </w:rPr>
            </w:pPr>
          </w:p>
        </w:tc>
        <w:tc>
          <w:tcPr>
            <w:tcW w:w="1434" w:type="dxa"/>
          </w:tcPr>
          <w:p w14:paraId="5FACD3EB"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tc>
        <w:tc>
          <w:tcPr>
            <w:tcW w:w="1404" w:type="dxa"/>
          </w:tcPr>
          <w:p w14:paraId="044AD24A" w14:textId="77777777" w:rsidR="002C2F35" w:rsidRPr="007061E6" w:rsidRDefault="002C2F35" w:rsidP="004C0100">
            <w:pPr>
              <w:pBdr>
                <w:top w:val="nil"/>
                <w:left w:val="nil"/>
                <w:bottom w:val="nil"/>
                <w:right w:val="nil"/>
                <w:between w:val="nil"/>
              </w:pBdr>
              <w:jc w:val="center"/>
              <w:rPr>
                <w:rFonts w:asciiTheme="majorHAnsi" w:hAnsiTheme="majorHAnsi"/>
                <w:b/>
                <w:i/>
                <w:sz w:val="28"/>
                <w:szCs w:val="28"/>
              </w:rPr>
            </w:pPr>
            <w:r w:rsidRPr="007061E6">
              <w:rPr>
                <w:rFonts w:asciiTheme="majorHAnsi" w:hAnsiTheme="majorHAnsi"/>
                <w:b/>
                <w:i/>
                <w:sz w:val="28"/>
                <w:szCs w:val="28"/>
              </w:rPr>
              <w:t>TOTALE</w:t>
            </w:r>
          </w:p>
        </w:tc>
        <w:tc>
          <w:tcPr>
            <w:tcW w:w="1147" w:type="dxa"/>
          </w:tcPr>
          <w:p w14:paraId="45721449" w14:textId="3C335CE0" w:rsidR="002C2F35" w:rsidRPr="007061E6" w:rsidRDefault="001F5706" w:rsidP="004C0100">
            <w:pPr>
              <w:pBdr>
                <w:top w:val="nil"/>
                <w:left w:val="nil"/>
                <w:bottom w:val="nil"/>
                <w:right w:val="nil"/>
                <w:between w:val="nil"/>
              </w:pBdr>
              <w:jc w:val="center"/>
              <w:rPr>
                <w:rFonts w:asciiTheme="majorHAnsi" w:hAnsiTheme="majorHAnsi"/>
                <w:b/>
                <w:i/>
                <w:sz w:val="28"/>
                <w:szCs w:val="28"/>
              </w:rPr>
            </w:pPr>
            <w:r>
              <w:rPr>
                <w:rFonts w:asciiTheme="majorHAnsi" w:hAnsiTheme="majorHAnsi"/>
                <w:b/>
                <w:i/>
                <w:sz w:val="28"/>
                <w:szCs w:val="28"/>
              </w:rPr>
              <w:t>10,93</w:t>
            </w:r>
          </w:p>
        </w:tc>
      </w:tr>
    </w:tbl>
    <w:p w14:paraId="23CC0B38" w14:textId="77777777" w:rsidR="002C2F35" w:rsidRPr="007061E6" w:rsidRDefault="002C2F35" w:rsidP="002C2F35">
      <w:pPr>
        <w:tabs>
          <w:tab w:val="left" w:pos="6000"/>
        </w:tabs>
        <w:rPr>
          <w:rFonts w:asciiTheme="majorHAnsi" w:hAnsiTheme="majorHAnsi"/>
        </w:rPr>
      </w:pPr>
    </w:p>
    <w:p w14:paraId="65D73131" w14:textId="77777777" w:rsidR="002C2F35" w:rsidRPr="007061E6" w:rsidRDefault="002C2F35" w:rsidP="002C2F35">
      <w:pPr>
        <w:rPr>
          <w:rFonts w:asciiTheme="majorHAnsi" w:hAnsiTheme="majorHAnsi"/>
        </w:rPr>
      </w:pPr>
      <w:r w:rsidRPr="007061E6">
        <w:rPr>
          <w:rFonts w:asciiTheme="majorHAnsi" w:hAnsiTheme="majorHAnsi"/>
        </w:rPr>
        <w:br w:type="page"/>
      </w:r>
    </w:p>
    <w:tbl>
      <w:tblPr>
        <w:tblW w:w="10118"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9"/>
        <w:gridCol w:w="1418"/>
        <w:gridCol w:w="1417"/>
        <w:gridCol w:w="1134"/>
      </w:tblGrid>
      <w:tr w:rsidR="002C2F35" w:rsidRPr="007061E6" w14:paraId="590E1B45" w14:textId="77777777" w:rsidTr="00886514">
        <w:trPr>
          <w:trHeight w:val="427"/>
        </w:trPr>
        <w:tc>
          <w:tcPr>
            <w:tcW w:w="10118" w:type="dxa"/>
            <w:gridSpan w:val="4"/>
            <w:shd w:val="clear" w:color="auto" w:fill="4926CA"/>
          </w:tcPr>
          <w:p w14:paraId="0B871A71" w14:textId="77777777" w:rsidR="002C2F35" w:rsidRPr="007061E6" w:rsidRDefault="002C2F35" w:rsidP="004C0100">
            <w:pPr>
              <w:jc w:val="center"/>
              <w:rPr>
                <w:rFonts w:asciiTheme="majorHAnsi" w:hAnsiTheme="majorHAnsi"/>
                <w:b/>
              </w:rPr>
            </w:pPr>
            <w:r w:rsidRPr="007061E6">
              <w:rPr>
                <w:rFonts w:asciiTheme="majorHAnsi" w:hAnsiTheme="majorHAnsi"/>
                <w:b/>
                <w:color w:val="FFFFFF"/>
                <w:sz w:val="36"/>
                <w:szCs w:val="36"/>
              </w:rPr>
              <w:lastRenderedPageBreak/>
              <w:t>INFRASTRUTTURE DI RICARICA</w:t>
            </w:r>
          </w:p>
        </w:tc>
      </w:tr>
      <w:tr w:rsidR="002C2F35" w:rsidRPr="007061E6" w14:paraId="52522733" w14:textId="77777777" w:rsidTr="00886514">
        <w:trPr>
          <w:trHeight w:val="693"/>
        </w:trPr>
        <w:tc>
          <w:tcPr>
            <w:tcW w:w="6149" w:type="dxa"/>
            <w:shd w:val="clear" w:color="auto" w:fill="4926CA"/>
          </w:tcPr>
          <w:p w14:paraId="0D390514"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Misure e Obiettivi</w:t>
            </w:r>
          </w:p>
        </w:tc>
        <w:tc>
          <w:tcPr>
            <w:tcW w:w="1418" w:type="dxa"/>
            <w:shd w:val="clear" w:color="auto" w:fill="4926CA"/>
          </w:tcPr>
          <w:p w14:paraId="5F849007"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Veicolo normativo impattato</w:t>
            </w:r>
          </w:p>
        </w:tc>
        <w:tc>
          <w:tcPr>
            <w:tcW w:w="1417" w:type="dxa"/>
            <w:shd w:val="clear" w:color="auto" w:fill="4926CA"/>
          </w:tcPr>
          <w:p w14:paraId="7B964C7C"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Arco temporale</w:t>
            </w:r>
          </w:p>
        </w:tc>
        <w:tc>
          <w:tcPr>
            <w:tcW w:w="1134" w:type="dxa"/>
            <w:shd w:val="clear" w:color="auto" w:fill="4926CA"/>
          </w:tcPr>
          <w:p w14:paraId="5001191F"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Risorse</w:t>
            </w:r>
          </w:p>
          <w:p w14:paraId="552D9FA4"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[Mld €]</w:t>
            </w:r>
          </w:p>
        </w:tc>
      </w:tr>
      <w:tr w:rsidR="002C2F35" w:rsidRPr="007061E6" w14:paraId="593E8996" w14:textId="77777777" w:rsidTr="00886514">
        <w:trPr>
          <w:trHeight w:val="6007"/>
        </w:trPr>
        <w:tc>
          <w:tcPr>
            <w:tcW w:w="6149" w:type="dxa"/>
          </w:tcPr>
          <w:p w14:paraId="34B6BA73" w14:textId="77777777" w:rsidR="002C2F35" w:rsidRPr="007061E6" w:rsidRDefault="002C2F35" w:rsidP="004C0100">
            <w:pPr>
              <w:rPr>
                <w:rFonts w:asciiTheme="majorHAnsi" w:hAnsiTheme="majorHAnsi"/>
                <w:b/>
                <w:i/>
                <w:sz w:val="30"/>
                <w:szCs w:val="30"/>
              </w:rPr>
            </w:pPr>
            <w:r w:rsidRPr="007061E6">
              <w:rPr>
                <w:rFonts w:asciiTheme="majorHAnsi" w:hAnsiTheme="majorHAnsi"/>
                <w:b/>
                <w:i/>
                <w:sz w:val="30"/>
                <w:szCs w:val="30"/>
              </w:rPr>
              <w:t>I.1</w:t>
            </w:r>
          </w:p>
          <w:p w14:paraId="611BAF55" w14:textId="77777777" w:rsidR="002C2F35" w:rsidRPr="007061E6" w:rsidRDefault="002C2F35" w:rsidP="004C0100">
            <w:pPr>
              <w:rPr>
                <w:rFonts w:asciiTheme="majorHAnsi" w:hAnsiTheme="majorHAnsi"/>
                <w:b/>
                <w:i/>
                <w:sz w:val="20"/>
                <w:szCs w:val="20"/>
                <w:u w:val="single"/>
              </w:rPr>
            </w:pPr>
            <w:r w:rsidRPr="007061E6">
              <w:rPr>
                <w:rFonts w:asciiTheme="majorHAnsi" w:hAnsiTheme="majorHAnsi"/>
                <w:b/>
                <w:i/>
                <w:sz w:val="20"/>
                <w:szCs w:val="20"/>
                <w:u w:val="single"/>
              </w:rPr>
              <w:t xml:space="preserve">Rafforzamento </w:t>
            </w:r>
            <w:proofErr w:type="gramStart"/>
            <w:r w:rsidRPr="007061E6">
              <w:rPr>
                <w:rFonts w:asciiTheme="majorHAnsi" w:hAnsiTheme="majorHAnsi"/>
                <w:b/>
                <w:i/>
                <w:sz w:val="20"/>
                <w:szCs w:val="20"/>
                <w:u w:val="single"/>
              </w:rPr>
              <w:t>Fondi  per</w:t>
            </w:r>
            <w:proofErr w:type="gramEnd"/>
            <w:r w:rsidRPr="007061E6">
              <w:rPr>
                <w:rFonts w:asciiTheme="majorHAnsi" w:hAnsiTheme="majorHAnsi"/>
                <w:b/>
                <w:i/>
                <w:sz w:val="20"/>
                <w:szCs w:val="20"/>
                <w:u w:val="single"/>
              </w:rPr>
              <w:t xml:space="preserve"> la rete di ricarica ad accesso pubblico: </w:t>
            </w:r>
          </w:p>
          <w:p w14:paraId="7E223CBF" w14:textId="77777777" w:rsidR="002C2F35" w:rsidRPr="007061E6" w:rsidRDefault="002C2F35" w:rsidP="004C0100">
            <w:pPr>
              <w:rPr>
                <w:rFonts w:asciiTheme="majorHAnsi" w:hAnsiTheme="majorHAnsi"/>
                <w:color w:val="000000"/>
                <w:sz w:val="20"/>
                <w:szCs w:val="20"/>
                <w:highlight w:val="yellow"/>
              </w:rPr>
            </w:pPr>
            <w:r w:rsidRPr="007061E6">
              <w:rPr>
                <w:rFonts w:asciiTheme="majorHAnsi" w:hAnsiTheme="majorHAnsi"/>
                <w:sz w:val="20"/>
                <w:szCs w:val="20"/>
              </w:rPr>
              <w:t>Caratteristiche misura:</w:t>
            </w:r>
          </w:p>
          <w:p w14:paraId="028168AC" w14:textId="77777777" w:rsidR="002C2F35" w:rsidRPr="007061E6" w:rsidRDefault="002C2F35" w:rsidP="00EC4408">
            <w:pPr>
              <w:numPr>
                <w:ilvl w:val="0"/>
                <w:numId w:val="29"/>
              </w:numPr>
              <w:pBdr>
                <w:top w:val="nil"/>
                <w:left w:val="nil"/>
                <w:bottom w:val="nil"/>
                <w:right w:val="nil"/>
                <w:between w:val="nil"/>
              </w:pBdr>
              <w:jc w:val="both"/>
              <w:rPr>
                <w:rFonts w:asciiTheme="majorHAnsi" w:hAnsiTheme="majorHAnsi"/>
                <w:color w:val="000000"/>
                <w:sz w:val="20"/>
                <w:szCs w:val="20"/>
                <w:highlight w:val="white"/>
              </w:rPr>
            </w:pPr>
            <w:r w:rsidRPr="007061E6">
              <w:rPr>
                <w:rFonts w:asciiTheme="majorHAnsi" w:hAnsiTheme="majorHAnsi"/>
                <w:sz w:val="20"/>
                <w:szCs w:val="20"/>
                <w:highlight w:val="white"/>
              </w:rPr>
              <w:t>Necessaria una deroga alla normativa sugli Aiuti di Stato, come già fatto con successo dalla Germania, per poter erogare i fondi del PNIRE mediante un cofinanziamento diretto agli operatori di mercato (CPO);</w:t>
            </w:r>
          </w:p>
          <w:p w14:paraId="39993692" w14:textId="77777777" w:rsidR="002C2F35" w:rsidRPr="007061E6" w:rsidRDefault="002C2F35" w:rsidP="00EC4408">
            <w:pPr>
              <w:numPr>
                <w:ilvl w:val="0"/>
                <w:numId w:val="29"/>
              </w:numPr>
              <w:pBdr>
                <w:top w:val="nil"/>
                <w:left w:val="nil"/>
                <w:bottom w:val="nil"/>
                <w:right w:val="nil"/>
                <w:between w:val="nil"/>
              </w:pBdr>
              <w:jc w:val="both"/>
              <w:rPr>
                <w:rFonts w:asciiTheme="majorHAnsi" w:hAnsiTheme="majorHAnsi"/>
                <w:sz w:val="20"/>
                <w:szCs w:val="20"/>
                <w:highlight w:val="white"/>
              </w:rPr>
            </w:pPr>
            <w:r w:rsidRPr="007061E6">
              <w:rPr>
                <w:rFonts w:asciiTheme="majorHAnsi" w:hAnsiTheme="majorHAnsi"/>
                <w:sz w:val="20"/>
                <w:szCs w:val="20"/>
                <w:highlight w:val="white"/>
              </w:rPr>
              <w:t>Revisione delle modalità di finanziamento e governance previste dal PNIRE;</w:t>
            </w:r>
          </w:p>
          <w:p w14:paraId="45CF5FB3" w14:textId="77777777" w:rsidR="002C2F35" w:rsidRPr="007061E6" w:rsidRDefault="002C2F35" w:rsidP="00EC4408">
            <w:pPr>
              <w:numPr>
                <w:ilvl w:val="0"/>
                <w:numId w:val="29"/>
              </w:numPr>
              <w:pBdr>
                <w:top w:val="nil"/>
                <w:left w:val="nil"/>
                <w:bottom w:val="nil"/>
                <w:right w:val="nil"/>
                <w:between w:val="nil"/>
              </w:pBdr>
              <w:jc w:val="both"/>
              <w:rPr>
                <w:rFonts w:asciiTheme="majorHAnsi" w:hAnsiTheme="majorHAnsi"/>
                <w:color w:val="000000"/>
                <w:sz w:val="20"/>
                <w:szCs w:val="20"/>
                <w:highlight w:val="white"/>
              </w:rPr>
            </w:pPr>
            <w:r w:rsidRPr="007061E6">
              <w:rPr>
                <w:rFonts w:asciiTheme="majorHAnsi" w:hAnsiTheme="majorHAnsi"/>
                <w:sz w:val="20"/>
                <w:szCs w:val="20"/>
                <w:highlight w:val="white"/>
              </w:rPr>
              <w:t>Il cofinanziamento copre i costi di investimento e connessione;</w:t>
            </w:r>
          </w:p>
          <w:p w14:paraId="3F972CA5" w14:textId="0A316C18" w:rsidR="002C2F35" w:rsidRPr="007061E6" w:rsidRDefault="002C2F35" w:rsidP="00EC4408">
            <w:pPr>
              <w:numPr>
                <w:ilvl w:val="0"/>
                <w:numId w:val="33"/>
              </w:numPr>
              <w:pBdr>
                <w:top w:val="nil"/>
                <w:left w:val="nil"/>
                <w:bottom w:val="nil"/>
                <w:right w:val="nil"/>
                <w:between w:val="nil"/>
              </w:pBdr>
              <w:ind w:left="708"/>
              <w:jc w:val="both"/>
              <w:rPr>
                <w:rFonts w:asciiTheme="majorHAnsi" w:hAnsiTheme="majorHAnsi"/>
                <w:color w:val="000000"/>
                <w:sz w:val="20"/>
                <w:szCs w:val="20"/>
              </w:rPr>
            </w:pPr>
            <w:r w:rsidRPr="007061E6">
              <w:rPr>
                <w:rFonts w:asciiTheme="majorHAnsi" w:hAnsiTheme="majorHAnsi"/>
                <w:color w:val="000000"/>
                <w:sz w:val="20"/>
                <w:szCs w:val="20"/>
              </w:rPr>
              <w:t xml:space="preserve">Cofinanziamento </w:t>
            </w:r>
            <w:r w:rsidRPr="007061E6">
              <w:rPr>
                <w:rFonts w:asciiTheme="majorHAnsi" w:hAnsiTheme="majorHAnsi"/>
                <w:sz w:val="20"/>
                <w:szCs w:val="20"/>
              </w:rPr>
              <w:t>pari al</w:t>
            </w:r>
            <w:r w:rsidRPr="007061E6">
              <w:rPr>
                <w:rFonts w:asciiTheme="majorHAnsi" w:hAnsiTheme="majorHAnsi"/>
                <w:color w:val="000000"/>
                <w:sz w:val="20"/>
                <w:szCs w:val="20"/>
              </w:rPr>
              <w:t xml:space="preserve"> 40%</w:t>
            </w:r>
            <w:r w:rsidRPr="007061E6">
              <w:rPr>
                <w:rFonts w:asciiTheme="majorHAnsi" w:hAnsiTheme="majorHAnsi"/>
                <w:sz w:val="20"/>
                <w:szCs w:val="20"/>
              </w:rPr>
              <w:t xml:space="preserve"> del costo di investimento e connessione</w:t>
            </w:r>
            <w:r w:rsidRPr="007061E6">
              <w:rPr>
                <w:rFonts w:asciiTheme="majorHAnsi" w:hAnsiTheme="majorHAnsi"/>
                <w:color w:val="000000"/>
                <w:sz w:val="20"/>
                <w:szCs w:val="20"/>
              </w:rPr>
              <w:t xml:space="preserve"> </w:t>
            </w:r>
            <w:r w:rsidRPr="007061E6">
              <w:rPr>
                <w:rFonts w:asciiTheme="majorHAnsi" w:hAnsiTheme="majorHAnsi"/>
                <w:sz w:val="20"/>
                <w:szCs w:val="20"/>
              </w:rPr>
              <w:t>di</w:t>
            </w:r>
            <w:r w:rsidRPr="007061E6">
              <w:rPr>
                <w:rFonts w:asciiTheme="majorHAnsi" w:hAnsiTheme="majorHAnsi"/>
                <w:color w:val="000000"/>
                <w:sz w:val="20"/>
                <w:szCs w:val="20"/>
              </w:rPr>
              <w:t xml:space="preserve"> PdR  d</w:t>
            </w:r>
            <w:r w:rsidRPr="007061E6">
              <w:rPr>
                <w:rFonts w:asciiTheme="majorHAnsi" w:hAnsiTheme="majorHAnsi"/>
                <w:sz w:val="20"/>
                <w:szCs w:val="20"/>
              </w:rPr>
              <w:t xml:space="preserve">i P= </w:t>
            </w:r>
            <w:r w:rsidRPr="007061E6">
              <w:rPr>
                <w:rFonts w:asciiTheme="majorHAnsi" w:hAnsiTheme="majorHAnsi"/>
                <w:color w:val="000000"/>
                <w:sz w:val="20"/>
                <w:szCs w:val="20"/>
              </w:rPr>
              <w:t>3-7 kW e P= 11-22 kW</w:t>
            </w:r>
            <w:r w:rsidR="00222E2E">
              <w:rPr>
                <w:rFonts w:asciiTheme="majorHAnsi" w:hAnsiTheme="majorHAnsi"/>
                <w:color w:val="000000"/>
                <w:sz w:val="20"/>
                <w:szCs w:val="20"/>
              </w:rPr>
              <w:t>, nelle zone non sufficientemente coperte dal mercato;</w:t>
            </w:r>
          </w:p>
          <w:p w14:paraId="25988EE2" w14:textId="3552285B" w:rsidR="002C2F35" w:rsidRDefault="002C2F35" w:rsidP="00EC4408">
            <w:pPr>
              <w:numPr>
                <w:ilvl w:val="0"/>
                <w:numId w:val="33"/>
              </w:numPr>
              <w:ind w:left="708"/>
              <w:jc w:val="both"/>
              <w:rPr>
                <w:rFonts w:asciiTheme="majorHAnsi" w:hAnsiTheme="majorHAnsi"/>
                <w:sz w:val="20"/>
                <w:szCs w:val="20"/>
              </w:rPr>
            </w:pPr>
            <w:r w:rsidRPr="007061E6">
              <w:rPr>
                <w:rFonts w:asciiTheme="majorHAnsi" w:hAnsiTheme="majorHAnsi"/>
                <w:sz w:val="20"/>
                <w:szCs w:val="20"/>
              </w:rPr>
              <w:t xml:space="preserve">Cofinanziamento del 50% del costo di investimento e connessione di PdR di P </w:t>
            </w:r>
            <w:sdt>
              <w:sdtPr>
                <w:rPr>
                  <w:rFonts w:asciiTheme="majorHAnsi" w:hAnsiTheme="majorHAnsi"/>
                </w:rPr>
                <w:tag w:val="goog_rdk_0"/>
                <w:id w:val="-202714515"/>
              </w:sdtPr>
              <w:sdtEndPr/>
              <w:sdtContent>
                <w:r w:rsidRPr="007061E6">
                  <w:rPr>
                    <w:rFonts w:asciiTheme="majorHAnsi" w:eastAsia="Gungsuh" w:hAnsiTheme="majorHAnsi" w:cs="Gungsuh"/>
                  </w:rPr>
                  <w:t>≥</w:t>
                </w:r>
              </w:sdtContent>
            </w:sdt>
            <w:r w:rsidR="0097152E">
              <w:rPr>
                <w:rFonts w:asciiTheme="majorHAnsi" w:hAnsiTheme="majorHAnsi"/>
                <w:sz w:val="20"/>
                <w:szCs w:val="20"/>
              </w:rPr>
              <w:t xml:space="preserve"> 50 kW (fast charger e HPC);</w:t>
            </w:r>
          </w:p>
          <w:p w14:paraId="4F51DA1E" w14:textId="2D4C4DA5" w:rsidR="00B81853" w:rsidRPr="00C13528" w:rsidRDefault="00B81853" w:rsidP="00EC4408">
            <w:pPr>
              <w:numPr>
                <w:ilvl w:val="0"/>
                <w:numId w:val="33"/>
              </w:numPr>
              <w:ind w:left="708"/>
              <w:jc w:val="both"/>
              <w:rPr>
                <w:rFonts w:asciiTheme="majorHAnsi" w:hAnsiTheme="majorHAnsi"/>
                <w:sz w:val="20"/>
                <w:szCs w:val="20"/>
              </w:rPr>
            </w:pPr>
            <w:r w:rsidRPr="00C13528">
              <w:rPr>
                <w:rFonts w:asciiTheme="majorHAnsi" w:hAnsiTheme="majorHAnsi"/>
                <w:sz w:val="20"/>
                <w:szCs w:val="20"/>
              </w:rPr>
              <w:t>Contributi a copertura dei costi di esercizio per le IdR che non hanno ricevuto contributi pubblici (e quindi finanziate interamente dagli operatori di mercato) e che non raggiungono dei volumi minimi di erogato tali da ripagare costi e investimenti della rete di ricarica.</w:t>
            </w:r>
          </w:p>
          <w:p w14:paraId="68AE3EE1" w14:textId="77777777" w:rsidR="002C2F35" w:rsidRPr="007061E6" w:rsidRDefault="002C2F35" w:rsidP="004C0100">
            <w:pPr>
              <w:rPr>
                <w:rFonts w:asciiTheme="majorHAnsi" w:hAnsiTheme="majorHAnsi"/>
                <w:sz w:val="20"/>
                <w:szCs w:val="20"/>
              </w:rPr>
            </w:pPr>
          </w:p>
          <w:p w14:paraId="7FAF2237"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 xml:space="preserve">Risultati attesi alla fine dell’arco temporale: </w:t>
            </w:r>
          </w:p>
          <w:p w14:paraId="7CC08812" w14:textId="77777777" w:rsidR="002C2F35" w:rsidRPr="007061E6" w:rsidRDefault="002C2F35" w:rsidP="00EC4408">
            <w:pPr>
              <w:numPr>
                <w:ilvl w:val="0"/>
                <w:numId w:val="23"/>
              </w:numPr>
              <w:pBdr>
                <w:top w:val="nil"/>
                <w:left w:val="nil"/>
                <w:bottom w:val="nil"/>
                <w:right w:val="nil"/>
                <w:between w:val="nil"/>
              </w:pBdr>
              <w:rPr>
                <w:rFonts w:asciiTheme="majorHAnsi" w:hAnsiTheme="majorHAnsi"/>
                <w:color w:val="000000"/>
                <w:sz w:val="20"/>
                <w:szCs w:val="20"/>
              </w:rPr>
            </w:pPr>
            <w:r w:rsidRPr="007061E6">
              <w:rPr>
                <w:rFonts w:asciiTheme="majorHAnsi" w:hAnsiTheme="majorHAnsi"/>
                <w:color w:val="000000"/>
                <w:sz w:val="20"/>
                <w:szCs w:val="20"/>
              </w:rPr>
              <w:t>Ulteriori 80.000 – 110.000 PdR</w:t>
            </w:r>
            <w:r w:rsidRPr="007061E6">
              <w:rPr>
                <w:rFonts w:asciiTheme="majorHAnsi" w:hAnsiTheme="majorHAnsi"/>
                <w:sz w:val="20"/>
                <w:szCs w:val="20"/>
              </w:rPr>
              <w:t>;</w:t>
            </w:r>
          </w:p>
          <w:p w14:paraId="0131108E" w14:textId="77777777" w:rsidR="002C2F35" w:rsidRPr="007061E6" w:rsidRDefault="002C2F35" w:rsidP="00EC4408">
            <w:pPr>
              <w:numPr>
                <w:ilvl w:val="0"/>
                <w:numId w:val="23"/>
              </w:numPr>
              <w:pBdr>
                <w:top w:val="nil"/>
                <w:left w:val="nil"/>
                <w:bottom w:val="nil"/>
                <w:right w:val="nil"/>
                <w:between w:val="nil"/>
              </w:pBdr>
              <w:spacing w:after="200"/>
              <w:rPr>
                <w:rFonts w:asciiTheme="majorHAnsi" w:hAnsiTheme="majorHAnsi"/>
                <w:color w:val="000000"/>
                <w:sz w:val="20"/>
                <w:szCs w:val="20"/>
              </w:rPr>
            </w:pPr>
            <w:r w:rsidRPr="007061E6">
              <w:rPr>
                <w:rFonts w:asciiTheme="majorHAnsi" w:hAnsiTheme="majorHAnsi"/>
                <w:sz w:val="20"/>
                <w:szCs w:val="20"/>
              </w:rPr>
              <w:t>O</w:t>
            </w:r>
            <w:r w:rsidRPr="007061E6">
              <w:rPr>
                <w:rFonts w:asciiTheme="majorHAnsi" w:hAnsiTheme="majorHAnsi"/>
                <w:color w:val="000000"/>
                <w:sz w:val="20"/>
                <w:szCs w:val="20"/>
              </w:rPr>
              <w:t>biettiv</w:t>
            </w:r>
            <w:r w:rsidRPr="007061E6">
              <w:rPr>
                <w:rFonts w:asciiTheme="majorHAnsi" w:hAnsiTheme="majorHAnsi"/>
                <w:sz w:val="20"/>
                <w:szCs w:val="20"/>
              </w:rPr>
              <w:t xml:space="preserve">o </w:t>
            </w:r>
            <w:r w:rsidRPr="007061E6">
              <w:rPr>
                <w:rFonts w:asciiTheme="majorHAnsi" w:hAnsiTheme="majorHAnsi"/>
                <w:color w:val="000000"/>
                <w:sz w:val="20"/>
                <w:szCs w:val="20"/>
              </w:rPr>
              <w:t>di installazione d</w:t>
            </w:r>
            <w:r w:rsidRPr="007061E6">
              <w:rPr>
                <w:rFonts w:asciiTheme="majorHAnsi" w:hAnsiTheme="majorHAnsi"/>
                <w:sz w:val="20"/>
                <w:szCs w:val="20"/>
              </w:rPr>
              <w:t>ei</w:t>
            </w:r>
            <w:r w:rsidRPr="007061E6">
              <w:rPr>
                <w:rFonts w:asciiTheme="majorHAnsi" w:hAnsiTheme="majorHAnsi"/>
                <w:color w:val="000000"/>
                <w:sz w:val="20"/>
                <w:szCs w:val="20"/>
              </w:rPr>
              <w:t xml:space="preserve"> PdR al 2030 anticipat</w:t>
            </w:r>
            <w:r w:rsidRPr="007061E6">
              <w:rPr>
                <w:rFonts w:asciiTheme="majorHAnsi" w:hAnsiTheme="majorHAnsi"/>
                <w:sz w:val="20"/>
                <w:szCs w:val="20"/>
              </w:rPr>
              <w:t>o</w:t>
            </w:r>
            <w:r w:rsidRPr="007061E6">
              <w:rPr>
                <w:rFonts w:asciiTheme="majorHAnsi" w:hAnsiTheme="majorHAnsi"/>
                <w:color w:val="000000"/>
                <w:sz w:val="20"/>
                <w:szCs w:val="20"/>
              </w:rPr>
              <w:t xml:space="preserve"> al 2026</w:t>
            </w:r>
            <w:r w:rsidRPr="007061E6">
              <w:rPr>
                <w:rFonts w:asciiTheme="majorHAnsi" w:hAnsiTheme="majorHAnsi"/>
                <w:sz w:val="20"/>
                <w:szCs w:val="20"/>
              </w:rPr>
              <w:t>.</w:t>
            </w:r>
          </w:p>
          <w:p w14:paraId="5254CE5C"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Altro:</w:t>
            </w:r>
          </w:p>
          <w:p w14:paraId="1A7D70CC" w14:textId="77777777" w:rsidR="002C2F35" w:rsidRPr="007061E6" w:rsidRDefault="002C2F35" w:rsidP="00EC4408">
            <w:pPr>
              <w:numPr>
                <w:ilvl w:val="0"/>
                <w:numId w:val="33"/>
              </w:numPr>
              <w:pBdr>
                <w:top w:val="nil"/>
                <w:left w:val="nil"/>
                <w:bottom w:val="nil"/>
                <w:right w:val="nil"/>
                <w:between w:val="nil"/>
              </w:pBdr>
              <w:spacing w:after="200"/>
              <w:ind w:left="708"/>
              <w:rPr>
                <w:rFonts w:asciiTheme="majorHAnsi" w:hAnsiTheme="majorHAnsi"/>
                <w:color w:val="000000"/>
                <w:sz w:val="20"/>
                <w:szCs w:val="20"/>
              </w:rPr>
            </w:pPr>
            <w:r w:rsidRPr="007061E6">
              <w:rPr>
                <w:rFonts w:asciiTheme="majorHAnsi" w:hAnsiTheme="majorHAnsi"/>
                <w:color w:val="000000"/>
                <w:sz w:val="20"/>
                <w:szCs w:val="20"/>
              </w:rPr>
              <w:t xml:space="preserve">Scheda componente </w:t>
            </w:r>
            <w:r w:rsidRPr="007061E6">
              <w:rPr>
                <w:rFonts w:asciiTheme="majorHAnsi" w:hAnsiTheme="majorHAnsi"/>
                <w:sz w:val="20"/>
                <w:szCs w:val="20"/>
              </w:rPr>
              <w:t>attuale PNRR (29/12)</w:t>
            </w:r>
            <w:r w:rsidRPr="007061E6">
              <w:rPr>
                <w:rFonts w:asciiTheme="majorHAnsi" w:hAnsiTheme="majorHAnsi"/>
                <w:color w:val="000000"/>
                <w:sz w:val="20"/>
                <w:szCs w:val="20"/>
              </w:rPr>
              <w:t>: M2C2 e  M3C1.</w:t>
            </w:r>
          </w:p>
        </w:tc>
        <w:tc>
          <w:tcPr>
            <w:tcW w:w="1418" w:type="dxa"/>
          </w:tcPr>
          <w:p w14:paraId="595D0B17"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PNIRE</w:t>
            </w:r>
          </w:p>
          <w:p w14:paraId="617F480C"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6AFBD444"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 xml:space="preserve">D.Lgs 257/2016 </w:t>
            </w:r>
          </w:p>
          <w:p w14:paraId="5A0B21B9"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78199B22"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Concessioni autostradali</w:t>
            </w:r>
          </w:p>
        </w:tc>
        <w:tc>
          <w:tcPr>
            <w:tcW w:w="1417" w:type="dxa"/>
          </w:tcPr>
          <w:p w14:paraId="09615AE5"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2022 -2026</w:t>
            </w:r>
          </w:p>
        </w:tc>
        <w:tc>
          <w:tcPr>
            <w:tcW w:w="1134" w:type="dxa"/>
          </w:tcPr>
          <w:p w14:paraId="76E8BA43" w14:textId="4747311C" w:rsidR="002C2F35" w:rsidRPr="007061E6" w:rsidRDefault="00B81853" w:rsidP="004C0100">
            <w:pPr>
              <w:pBdr>
                <w:top w:val="nil"/>
                <w:left w:val="nil"/>
                <w:bottom w:val="nil"/>
                <w:right w:val="nil"/>
                <w:between w:val="nil"/>
              </w:pBdr>
              <w:jc w:val="center"/>
              <w:rPr>
                <w:rFonts w:asciiTheme="majorHAnsi" w:hAnsiTheme="majorHAnsi"/>
                <w:b/>
                <w:i/>
                <w:sz w:val="20"/>
                <w:szCs w:val="20"/>
              </w:rPr>
            </w:pPr>
            <w:r w:rsidRPr="00C13528">
              <w:rPr>
                <w:rFonts w:asciiTheme="majorHAnsi" w:hAnsiTheme="majorHAnsi"/>
                <w:b/>
                <w:i/>
                <w:sz w:val="20"/>
                <w:szCs w:val="20"/>
              </w:rPr>
              <w:t>0,67</w:t>
            </w:r>
          </w:p>
        </w:tc>
      </w:tr>
      <w:tr w:rsidR="002C2F35" w:rsidRPr="007061E6" w14:paraId="6EDDB5B3" w14:textId="77777777" w:rsidTr="00886514">
        <w:trPr>
          <w:trHeight w:val="2525"/>
        </w:trPr>
        <w:tc>
          <w:tcPr>
            <w:tcW w:w="6149" w:type="dxa"/>
          </w:tcPr>
          <w:p w14:paraId="4F311309" w14:textId="77777777" w:rsidR="002C2F35" w:rsidRPr="007061E6" w:rsidRDefault="002C2F35" w:rsidP="004C0100">
            <w:pPr>
              <w:rPr>
                <w:rFonts w:asciiTheme="majorHAnsi" w:hAnsiTheme="majorHAnsi"/>
                <w:b/>
                <w:i/>
                <w:sz w:val="30"/>
                <w:szCs w:val="30"/>
              </w:rPr>
            </w:pPr>
            <w:r w:rsidRPr="007061E6">
              <w:rPr>
                <w:rFonts w:asciiTheme="majorHAnsi" w:hAnsiTheme="majorHAnsi"/>
                <w:b/>
                <w:i/>
                <w:sz w:val="30"/>
                <w:szCs w:val="30"/>
              </w:rPr>
              <w:t xml:space="preserve">I.2 </w:t>
            </w:r>
          </w:p>
          <w:p w14:paraId="28B42E6A" w14:textId="77777777" w:rsidR="002C2F35" w:rsidRPr="007061E6" w:rsidRDefault="002C2F35" w:rsidP="004C0100">
            <w:pPr>
              <w:rPr>
                <w:rFonts w:asciiTheme="majorHAnsi" w:hAnsiTheme="majorHAnsi"/>
                <w:b/>
                <w:highlight w:val="white"/>
                <w:u w:val="single"/>
              </w:rPr>
            </w:pPr>
            <w:r w:rsidRPr="007061E6">
              <w:rPr>
                <w:rFonts w:asciiTheme="majorHAnsi" w:hAnsiTheme="majorHAnsi"/>
                <w:b/>
                <w:highlight w:val="white"/>
                <w:u w:val="single"/>
              </w:rPr>
              <w:t xml:space="preserve">Incentivi per l’acquisto e installazione di infrastrutture di </w:t>
            </w:r>
            <w:proofErr w:type="gramStart"/>
            <w:r w:rsidRPr="007061E6">
              <w:rPr>
                <w:rFonts w:asciiTheme="majorHAnsi" w:hAnsiTheme="majorHAnsi"/>
                <w:b/>
                <w:highlight w:val="white"/>
                <w:u w:val="single"/>
              </w:rPr>
              <w:t>ricarica  (</w:t>
            </w:r>
            <w:proofErr w:type="gramEnd"/>
            <w:r w:rsidRPr="007061E6">
              <w:rPr>
                <w:rFonts w:asciiTheme="majorHAnsi" w:hAnsiTheme="majorHAnsi"/>
                <w:b/>
                <w:highlight w:val="white"/>
                <w:u w:val="single"/>
              </w:rPr>
              <w:t xml:space="preserve">IdR) private per edifici residenziali e parcheggi aziendali </w:t>
            </w:r>
          </w:p>
          <w:p w14:paraId="236572CC" w14:textId="77777777" w:rsidR="002C2F35" w:rsidRPr="007061E6" w:rsidRDefault="002C2F35" w:rsidP="004C0100">
            <w:pPr>
              <w:rPr>
                <w:rFonts w:asciiTheme="majorHAnsi" w:hAnsiTheme="majorHAnsi"/>
                <w:sz w:val="20"/>
                <w:szCs w:val="20"/>
                <w:highlight w:val="white"/>
              </w:rPr>
            </w:pPr>
            <w:r w:rsidRPr="007061E6">
              <w:rPr>
                <w:rFonts w:asciiTheme="majorHAnsi" w:hAnsiTheme="majorHAnsi"/>
                <w:sz w:val="20"/>
                <w:szCs w:val="20"/>
                <w:highlight w:val="white"/>
              </w:rPr>
              <w:t>Caratteristiche misura:</w:t>
            </w:r>
          </w:p>
          <w:p w14:paraId="05F1D13B" w14:textId="77777777" w:rsidR="002C2F35" w:rsidRPr="007061E6" w:rsidRDefault="002C2F35" w:rsidP="00EC4408">
            <w:pPr>
              <w:numPr>
                <w:ilvl w:val="0"/>
                <w:numId w:val="27"/>
              </w:numPr>
              <w:spacing w:line="240" w:lineRule="auto"/>
              <w:jc w:val="both"/>
              <w:rPr>
                <w:rFonts w:asciiTheme="majorHAnsi" w:hAnsiTheme="majorHAnsi"/>
                <w:sz w:val="20"/>
                <w:szCs w:val="20"/>
                <w:highlight w:val="white"/>
              </w:rPr>
            </w:pPr>
            <w:r w:rsidRPr="007061E6">
              <w:rPr>
                <w:rFonts w:asciiTheme="majorHAnsi" w:hAnsiTheme="majorHAnsi"/>
                <w:sz w:val="20"/>
                <w:szCs w:val="20"/>
                <w:highlight w:val="white"/>
              </w:rPr>
              <w:t>Estensione fino al 2026 degli incentivi per l’acquisto e installazione di IdR di potenza standard negli edifici residenziali, con detrazioni fiscali al 50% ripartite in 10 quote annuali di pari importo e calcolate su un ammontare complessivo massimo di 3 k€;</w:t>
            </w:r>
          </w:p>
          <w:p w14:paraId="28F48519" w14:textId="77777777" w:rsidR="002C2F35" w:rsidRPr="00C0650D" w:rsidRDefault="002C2F35" w:rsidP="00EC4408">
            <w:pPr>
              <w:numPr>
                <w:ilvl w:val="0"/>
                <w:numId w:val="28"/>
              </w:numPr>
              <w:spacing w:line="240" w:lineRule="auto"/>
              <w:jc w:val="both"/>
              <w:rPr>
                <w:rFonts w:asciiTheme="majorHAnsi" w:hAnsiTheme="majorHAnsi"/>
                <w:sz w:val="20"/>
                <w:szCs w:val="20"/>
                <w:highlight w:val="white"/>
              </w:rPr>
            </w:pPr>
            <w:r w:rsidRPr="007061E6">
              <w:rPr>
                <w:rFonts w:asciiTheme="majorHAnsi" w:hAnsiTheme="majorHAnsi"/>
                <w:sz w:val="20"/>
                <w:szCs w:val="20"/>
              </w:rPr>
              <w:t xml:space="preserve">Credito d'imposta pari al 50% del costo di acquisto e installazione di IdR di qualsiasi potenza, calcolato su un massimo di spesa di </w:t>
            </w:r>
            <w:r w:rsidRPr="007061E6">
              <w:rPr>
                <w:rFonts w:asciiTheme="majorHAnsi" w:hAnsiTheme="majorHAnsi"/>
                <w:sz w:val="20"/>
                <w:szCs w:val="20"/>
              </w:rPr>
              <w:lastRenderedPageBreak/>
              <w:t>100 k€, per le imprese che acquistano e installano IdR dal 2022 al 2026;</w:t>
            </w:r>
          </w:p>
          <w:p w14:paraId="5833AF23" w14:textId="59643475" w:rsidR="00C0650D" w:rsidRPr="007061E6" w:rsidRDefault="00C0650D" w:rsidP="00EC4408">
            <w:pPr>
              <w:numPr>
                <w:ilvl w:val="0"/>
                <w:numId w:val="28"/>
              </w:numPr>
              <w:spacing w:line="240" w:lineRule="auto"/>
              <w:jc w:val="both"/>
              <w:rPr>
                <w:rFonts w:asciiTheme="majorHAnsi" w:hAnsiTheme="majorHAnsi"/>
                <w:sz w:val="20"/>
                <w:szCs w:val="20"/>
                <w:highlight w:val="white"/>
              </w:rPr>
            </w:pPr>
            <w:r>
              <w:rPr>
                <w:rFonts w:asciiTheme="majorHAnsi" w:hAnsiTheme="majorHAnsi"/>
                <w:sz w:val="20"/>
                <w:szCs w:val="20"/>
                <w:highlight w:val="white"/>
              </w:rPr>
              <w:t>Introduzione di</w:t>
            </w:r>
            <w:r w:rsidRPr="00C0650D">
              <w:rPr>
                <w:rFonts w:asciiTheme="majorHAnsi" w:hAnsiTheme="majorHAnsi"/>
                <w:sz w:val="20"/>
                <w:szCs w:val="20"/>
                <w:highlight w:val="white"/>
              </w:rPr>
              <w:t xml:space="preserve"> appositi incentivi per colmare il differenziale di costo dell’infrastruttura bidirezionale (ad oggi circa il doppio) rispetto a quella unidirezionale per diffondere sin da ora infrastrutture di ricarica di ultima generazione dotate di tecnologia vehicle to grid</w:t>
            </w:r>
            <w:r>
              <w:rPr>
                <w:rFonts w:asciiTheme="majorHAnsi" w:hAnsiTheme="majorHAnsi"/>
                <w:sz w:val="20"/>
                <w:szCs w:val="20"/>
                <w:highlight w:val="white"/>
              </w:rPr>
              <w:t>;</w:t>
            </w:r>
          </w:p>
          <w:p w14:paraId="47A2E08E" w14:textId="77777777" w:rsidR="002C2F35" w:rsidRPr="007061E6" w:rsidRDefault="002C2F35" w:rsidP="00EC4408">
            <w:pPr>
              <w:numPr>
                <w:ilvl w:val="0"/>
                <w:numId w:val="28"/>
              </w:numPr>
              <w:spacing w:line="240" w:lineRule="auto"/>
              <w:jc w:val="both"/>
              <w:rPr>
                <w:rFonts w:asciiTheme="majorHAnsi" w:hAnsiTheme="majorHAnsi"/>
                <w:sz w:val="20"/>
                <w:szCs w:val="20"/>
                <w:highlight w:val="white"/>
              </w:rPr>
            </w:pPr>
            <w:r w:rsidRPr="007061E6">
              <w:rPr>
                <w:rFonts w:asciiTheme="majorHAnsi" w:hAnsiTheme="majorHAnsi"/>
                <w:sz w:val="20"/>
                <w:szCs w:val="20"/>
              </w:rPr>
              <w:t>La misura potrebbe accogliere dei fondi dedicati all’infrastruttura di ricarica specifica per i veicoli merci sia nei centri logistici, sia nei rimessaggi dei mezzi, sia nei nodi di consegna in ambito urbano (zone commerciali, GDO, ecc.).</w:t>
            </w:r>
          </w:p>
          <w:p w14:paraId="4E8D8492" w14:textId="77777777" w:rsidR="002C2F35" w:rsidRPr="007061E6" w:rsidRDefault="002C2F35" w:rsidP="004C0100">
            <w:pPr>
              <w:rPr>
                <w:rFonts w:asciiTheme="majorHAnsi" w:hAnsiTheme="majorHAnsi"/>
                <w:sz w:val="20"/>
                <w:szCs w:val="20"/>
              </w:rPr>
            </w:pPr>
          </w:p>
          <w:p w14:paraId="2623BED7"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highlight w:val="white"/>
              </w:rPr>
              <w:t>Risultati attesi alla fine dell’arco temporale:</w:t>
            </w:r>
          </w:p>
          <w:p w14:paraId="445D03DD" w14:textId="77777777" w:rsidR="002C2F35" w:rsidRPr="007061E6" w:rsidRDefault="002C2F35" w:rsidP="00EC4408">
            <w:pPr>
              <w:numPr>
                <w:ilvl w:val="0"/>
                <w:numId w:val="6"/>
              </w:num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Più di 1 milione di PdR privati domestici aggiuntivi;</w:t>
            </w:r>
          </w:p>
          <w:p w14:paraId="3F6A133F" w14:textId="77777777" w:rsidR="002C2F35" w:rsidRPr="007061E6" w:rsidRDefault="002C2F35" w:rsidP="00EC4408">
            <w:pPr>
              <w:numPr>
                <w:ilvl w:val="0"/>
                <w:numId w:val="6"/>
              </w:num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Ulteriori 400.000 PdR privati aziendali;</w:t>
            </w:r>
          </w:p>
          <w:p w14:paraId="6371292F" w14:textId="77777777" w:rsidR="002C2F35" w:rsidRPr="007061E6" w:rsidRDefault="002C2F35" w:rsidP="00EC4408">
            <w:pPr>
              <w:numPr>
                <w:ilvl w:val="0"/>
                <w:numId w:val="6"/>
              </w:num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Più di 5.000 centri di logistica o nodi di consegna con ricariche ad alta potenza;</w:t>
            </w:r>
          </w:p>
          <w:p w14:paraId="0745CCFD" w14:textId="77777777" w:rsidR="002C2F35" w:rsidRDefault="002C2F35" w:rsidP="00EC4408">
            <w:pPr>
              <w:numPr>
                <w:ilvl w:val="0"/>
                <w:numId w:val="6"/>
              </w:num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Più di 2.000 rimessaggi di veicoli merci con ricariche overnight a bassa potenza;</w:t>
            </w:r>
          </w:p>
          <w:p w14:paraId="74C22797" w14:textId="5170ED36" w:rsidR="00C0650D" w:rsidRPr="008F14AA" w:rsidRDefault="008F14AA" w:rsidP="008F14AA">
            <w:pPr>
              <w:pStyle w:val="Paragrafoelenco"/>
              <w:numPr>
                <w:ilvl w:val="0"/>
                <w:numId w:val="6"/>
              </w:numPr>
              <w:pBdr>
                <w:top w:val="nil"/>
                <w:left w:val="nil"/>
                <w:bottom w:val="nil"/>
                <w:right w:val="nil"/>
                <w:between w:val="nil"/>
              </w:pBdr>
              <w:jc w:val="both"/>
              <w:rPr>
                <w:rFonts w:asciiTheme="majorHAnsi" w:hAnsiTheme="majorHAnsi"/>
                <w:sz w:val="20"/>
                <w:szCs w:val="20"/>
              </w:rPr>
            </w:pPr>
            <w:r>
              <w:rPr>
                <w:rFonts w:asciiTheme="majorHAnsi" w:hAnsiTheme="majorHAnsi"/>
                <w:sz w:val="20"/>
                <w:szCs w:val="20"/>
              </w:rPr>
              <w:t>Un’adeguata infrastrutturazione con IdR predisposte per la tecnologia V2G.</w:t>
            </w:r>
          </w:p>
          <w:p w14:paraId="1BD5C261"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Altro:</w:t>
            </w:r>
          </w:p>
          <w:p w14:paraId="728ECD1D" w14:textId="77777777" w:rsidR="002C2F35" w:rsidRPr="007061E6" w:rsidRDefault="002C2F35" w:rsidP="00EC4408">
            <w:pPr>
              <w:pStyle w:val="Paragrafoelenco"/>
              <w:numPr>
                <w:ilvl w:val="0"/>
                <w:numId w:val="42"/>
              </w:numPr>
              <w:pBdr>
                <w:top w:val="nil"/>
                <w:left w:val="nil"/>
                <w:bottom w:val="nil"/>
                <w:right w:val="nil"/>
                <w:between w:val="nil"/>
              </w:pBdr>
              <w:spacing w:after="0" w:line="240" w:lineRule="auto"/>
              <w:rPr>
                <w:rFonts w:asciiTheme="majorHAnsi" w:hAnsiTheme="majorHAnsi"/>
                <w:sz w:val="20"/>
                <w:szCs w:val="20"/>
              </w:rPr>
            </w:pPr>
            <w:r w:rsidRPr="007061E6">
              <w:rPr>
                <w:rFonts w:asciiTheme="majorHAnsi" w:hAnsiTheme="majorHAnsi"/>
                <w:sz w:val="20"/>
                <w:szCs w:val="20"/>
              </w:rPr>
              <w:t>Scheda componente attuale PNRR (29/12): nessuna.</w:t>
            </w:r>
          </w:p>
        </w:tc>
        <w:tc>
          <w:tcPr>
            <w:tcW w:w="1418" w:type="dxa"/>
          </w:tcPr>
          <w:p w14:paraId="6B5FD57B"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lastRenderedPageBreak/>
              <w:t>Legge di Bilancio 2019</w:t>
            </w:r>
          </w:p>
          <w:p w14:paraId="568DCAF1"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18AF51C0"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 xml:space="preserve">Legge 13 ottobre 2020 n.126 </w:t>
            </w:r>
          </w:p>
          <w:p w14:paraId="74492221" w14:textId="77777777" w:rsidR="002C2F35"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 xml:space="preserve">(conversione DL </w:t>
            </w:r>
            <w:proofErr w:type="gramStart"/>
            <w:r w:rsidRPr="007061E6">
              <w:rPr>
                <w:rFonts w:asciiTheme="majorHAnsi" w:hAnsiTheme="majorHAnsi"/>
                <w:b/>
                <w:i/>
                <w:sz w:val="20"/>
                <w:szCs w:val="20"/>
              </w:rPr>
              <w:t>Agosto</w:t>
            </w:r>
            <w:proofErr w:type="gramEnd"/>
            <w:r w:rsidRPr="007061E6">
              <w:rPr>
                <w:rFonts w:asciiTheme="majorHAnsi" w:hAnsiTheme="majorHAnsi"/>
                <w:b/>
                <w:i/>
                <w:sz w:val="20"/>
                <w:szCs w:val="20"/>
              </w:rPr>
              <w:t>)</w:t>
            </w:r>
          </w:p>
          <w:p w14:paraId="18DFF032" w14:textId="451BD930" w:rsidR="008F14AA" w:rsidRPr="007061E6" w:rsidRDefault="008F14AA" w:rsidP="004C0100">
            <w:pPr>
              <w:pBdr>
                <w:top w:val="nil"/>
                <w:left w:val="nil"/>
                <w:bottom w:val="nil"/>
                <w:right w:val="nil"/>
                <w:between w:val="nil"/>
              </w:pBdr>
              <w:jc w:val="center"/>
              <w:rPr>
                <w:rFonts w:asciiTheme="majorHAnsi" w:hAnsiTheme="majorHAnsi"/>
                <w:b/>
                <w:i/>
                <w:sz w:val="20"/>
                <w:szCs w:val="20"/>
              </w:rPr>
            </w:pPr>
            <w:r>
              <w:rPr>
                <w:rFonts w:asciiTheme="majorHAnsi" w:hAnsiTheme="majorHAnsi"/>
                <w:b/>
                <w:i/>
                <w:sz w:val="20"/>
                <w:szCs w:val="20"/>
              </w:rPr>
              <w:t>DM 30 gennaio 2030</w:t>
            </w:r>
          </w:p>
        </w:tc>
        <w:tc>
          <w:tcPr>
            <w:tcW w:w="1417" w:type="dxa"/>
          </w:tcPr>
          <w:p w14:paraId="620E5F8A"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5C7425DF" w14:textId="4BB0755D" w:rsidR="002C2F35" w:rsidRPr="007061E6" w:rsidRDefault="00E42A8B" w:rsidP="004C0100">
            <w:pPr>
              <w:pBdr>
                <w:top w:val="nil"/>
                <w:left w:val="nil"/>
                <w:bottom w:val="nil"/>
                <w:right w:val="nil"/>
                <w:between w:val="nil"/>
              </w:pBdr>
              <w:jc w:val="center"/>
              <w:rPr>
                <w:rFonts w:asciiTheme="majorHAnsi" w:hAnsiTheme="majorHAnsi"/>
                <w:b/>
                <w:i/>
                <w:sz w:val="20"/>
                <w:szCs w:val="20"/>
                <w:highlight w:val="white"/>
              </w:rPr>
            </w:pPr>
            <w:r w:rsidRPr="00C13528">
              <w:rPr>
                <w:rFonts w:asciiTheme="majorHAnsi" w:hAnsiTheme="majorHAnsi"/>
                <w:b/>
                <w:i/>
                <w:sz w:val="20"/>
                <w:szCs w:val="20"/>
              </w:rPr>
              <w:t>1,50</w:t>
            </w:r>
          </w:p>
        </w:tc>
      </w:tr>
      <w:tr w:rsidR="002C2F35" w:rsidRPr="007061E6" w14:paraId="643CC98B" w14:textId="77777777" w:rsidTr="00886514">
        <w:trPr>
          <w:trHeight w:val="2525"/>
        </w:trPr>
        <w:tc>
          <w:tcPr>
            <w:tcW w:w="6149" w:type="dxa"/>
          </w:tcPr>
          <w:p w14:paraId="4A907E20" w14:textId="77777777" w:rsidR="002C2F35" w:rsidRPr="007061E6" w:rsidRDefault="002C2F35" w:rsidP="004C0100">
            <w:pPr>
              <w:rPr>
                <w:rFonts w:asciiTheme="majorHAnsi" w:hAnsiTheme="majorHAnsi"/>
                <w:b/>
                <w:i/>
                <w:sz w:val="30"/>
                <w:szCs w:val="30"/>
              </w:rPr>
            </w:pPr>
            <w:r w:rsidRPr="007061E6">
              <w:rPr>
                <w:rFonts w:asciiTheme="majorHAnsi" w:hAnsiTheme="majorHAnsi"/>
                <w:b/>
                <w:i/>
                <w:sz w:val="30"/>
                <w:szCs w:val="30"/>
              </w:rPr>
              <w:lastRenderedPageBreak/>
              <w:t>I.3</w:t>
            </w:r>
          </w:p>
          <w:p w14:paraId="24437342" w14:textId="77777777" w:rsidR="002C2F35" w:rsidRPr="007061E6" w:rsidRDefault="002C2F35" w:rsidP="004C0100">
            <w:pPr>
              <w:rPr>
                <w:rFonts w:asciiTheme="majorHAnsi" w:hAnsiTheme="majorHAnsi"/>
                <w:b/>
                <w:i/>
                <w:sz w:val="20"/>
                <w:szCs w:val="20"/>
                <w:u w:val="single"/>
              </w:rPr>
            </w:pPr>
            <w:r w:rsidRPr="007061E6">
              <w:rPr>
                <w:rFonts w:asciiTheme="majorHAnsi" w:hAnsiTheme="majorHAnsi"/>
                <w:b/>
                <w:i/>
                <w:sz w:val="20"/>
                <w:szCs w:val="20"/>
                <w:u w:val="single"/>
              </w:rPr>
              <w:t>Elettrificazione delle banchine per cold ironing e ricarica batterie dei natanti</w:t>
            </w:r>
          </w:p>
          <w:p w14:paraId="4AA97874" w14:textId="77777777" w:rsidR="002C2F35" w:rsidRPr="007061E6" w:rsidRDefault="002C2F35" w:rsidP="004C0100">
            <w:pPr>
              <w:rPr>
                <w:rFonts w:asciiTheme="majorHAnsi" w:hAnsiTheme="majorHAnsi"/>
                <w:sz w:val="20"/>
                <w:szCs w:val="20"/>
                <w:highlight w:val="white"/>
              </w:rPr>
            </w:pPr>
            <w:r w:rsidRPr="007061E6">
              <w:rPr>
                <w:rFonts w:asciiTheme="majorHAnsi" w:hAnsiTheme="majorHAnsi"/>
                <w:sz w:val="20"/>
                <w:szCs w:val="20"/>
                <w:highlight w:val="white"/>
              </w:rPr>
              <w:t>Caratteristiche della misura:</w:t>
            </w:r>
          </w:p>
          <w:p w14:paraId="627ECCEF" w14:textId="77777777" w:rsidR="002C2F35" w:rsidRPr="007061E6" w:rsidRDefault="002C2F35" w:rsidP="00EC4408">
            <w:pPr>
              <w:pStyle w:val="Paragrafoelenco"/>
              <w:numPr>
                <w:ilvl w:val="0"/>
                <w:numId w:val="42"/>
              </w:numPr>
              <w:spacing w:after="0" w:line="240" w:lineRule="auto"/>
              <w:rPr>
                <w:rFonts w:asciiTheme="majorHAnsi" w:hAnsiTheme="majorHAnsi"/>
                <w:sz w:val="20"/>
                <w:szCs w:val="20"/>
                <w:highlight w:val="white"/>
              </w:rPr>
            </w:pPr>
            <w:r w:rsidRPr="007061E6">
              <w:rPr>
                <w:rFonts w:asciiTheme="majorHAnsi" w:hAnsiTheme="majorHAnsi"/>
                <w:sz w:val="20"/>
                <w:szCs w:val="20"/>
                <w:highlight w:val="white"/>
              </w:rPr>
              <w:t>Elettrificazione delle banchine per il greening del trasporto su acqua e la generazione elettrica on board per i servizi ausiliari.</w:t>
            </w:r>
          </w:p>
          <w:p w14:paraId="3588E203" w14:textId="77777777" w:rsidR="002C2F35" w:rsidRPr="007061E6" w:rsidRDefault="002C2F35" w:rsidP="004C0100">
            <w:pPr>
              <w:rPr>
                <w:rFonts w:asciiTheme="majorHAnsi" w:hAnsiTheme="majorHAnsi"/>
                <w:sz w:val="20"/>
                <w:szCs w:val="20"/>
                <w:highlight w:val="white"/>
              </w:rPr>
            </w:pPr>
          </w:p>
          <w:p w14:paraId="5F536A39" w14:textId="77777777" w:rsidR="002C2F35" w:rsidRPr="007061E6" w:rsidRDefault="002C2F35" w:rsidP="004C0100">
            <w:pPr>
              <w:rPr>
                <w:rFonts w:asciiTheme="majorHAnsi" w:hAnsiTheme="majorHAnsi"/>
                <w:sz w:val="20"/>
                <w:szCs w:val="20"/>
                <w:highlight w:val="white"/>
              </w:rPr>
            </w:pPr>
            <w:r w:rsidRPr="007061E6">
              <w:rPr>
                <w:rFonts w:asciiTheme="majorHAnsi" w:hAnsiTheme="majorHAnsi"/>
                <w:sz w:val="20"/>
                <w:szCs w:val="20"/>
                <w:highlight w:val="white"/>
              </w:rPr>
              <w:t>Risultati attesi:</w:t>
            </w:r>
          </w:p>
          <w:p w14:paraId="1E1F0472" w14:textId="77777777" w:rsidR="002C2F35" w:rsidRPr="007061E6" w:rsidRDefault="002C2F35" w:rsidP="00EC4408">
            <w:pPr>
              <w:numPr>
                <w:ilvl w:val="0"/>
                <w:numId w:val="8"/>
              </w:numPr>
              <w:spacing w:line="240" w:lineRule="auto"/>
              <w:rPr>
                <w:rFonts w:asciiTheme="majorHAnsi" w:hAnsiTheme="majorHAnsi"/>
                <w:sz w:val="20"/>
                <w:szCs w:val="20"/>
                <w:highlight w:val="white"/>
              </w:rPr>
            </w:pPr>
            <w:r w:rsidRPr="007061E6">
              <w:rPr>
                <w:rFonts w:asciiTheme="majorHAnsi" w:hAnsiTheme="majorHAnsi"/>
                <w:sz w:val="20"/>
                <w:szCs w:val="20"/>
                <w:highlight w:val="white"/>
              </w:rPr>
              <w:t xml:space="preserve">Elettrificazione banchine in 41 porti con 1000 PdR per piccoli natanti e una IdR fast per punto di partenza e una IdR fast per punto di attracco per 200 rotte navigabili. </w:t>
            </w:r>
          </w:p>
          <w:p w14:paraId="26FA46EF"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Altro:</w:t>
            </w:r>
          </w:p>
          <w:p w14:paraId="6A7FF72B" w14:textId="77777777" w:rsidR="002C2F35" w:rsidRPr="007061E6" w:rsidRDefault="002C2F35" w:rsidP="00EC4408">
            <w:pPr>
              <w:numPr>
                <w:ilvl w:val="0"/>
                <w:numId w:val="19"/>
              </w:numPr>
              <w:spacing w:line="240" w:lineRule="auto"/>
              <w:rPr>
                <w:rFonts w:asciiTheme="majorHAnsi" w:hAnsiTheme="majorHAnsi"/>
                <w:sz w:val="20"/>
                <w:szCs w:val="20"/>
              </w:rPr>
            </w:pPr>
            <w:r w:rsidRPr="007061E6">
              <w:rPr>
                <w:rFonts w:asciiTheme="majorHAnsi" w:hAnsiTheme="majorHAnsi"/>
                <w:sz w:val="20"/>
                <w:szCs w:val="20"/>
              </w:rPr>
              <w:t>Scheda componente attuale PNRR (29/12): M3C2.</w:t>
            </w:r>
          </w:p>
        </w:tc>
        <w:tc>
          <w:tcPr>
            <w:tcW w:w="1418" w:type="dxa"/>
          </w:tcPr>
          <w:p w14:paraId="4A3A1D3D"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NA</w:t>
            </w:r>
          </w:p>
        </w:tc>
        <w:tc>
          <w:tcPr>
            <w:tcW w:w="1417" w:type="dxa"/>
          </w:tcPr>
          <w:p w14:paraId="3280873A"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07D07C4A"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1,10</w:t>
            </w:r>
          </w:p>
        </w:tc>
      </w:tr>
      <w:tr w:rsidR="002C2F35" w:rsidRPr="007061E6" w14:paraId="0953472E" w14:textId="77777777" w:rsidTr="00886514">
        <w:trPr>
          <w:trHeight w:val="435"/>
        </w:trPr>
        <w:tc>
          <w:tcPr>
            <w:tcW w:w="6149" w:type="dxa"/>
          </w:tcPr>
          <w:p w14:paraId="0B0CCF36" w14:textId="77777777" w:rsidR="002C2F35" w:rsidRPr="007061E6" w:rsidRDefault="002C2F35" w:rsidP="004C0100">
            <w:pPr>
              <w:rPr>
                <w:rFonts w:asciiTheme="majorHAnsi" w:hAnsiTheme="majorHAnsi"/>
                <w:b/>
                <w:i/>
                <w:sz w:val="20"/>
                <w:szCs w:val="20"/>
              </w:rPr>
            </w:pPr>
          </w:p>
        </w:tc>
        <w:tc>
          <w:tcPr>
            <w:tcW w:w="1418" w:type="dxa"/>
          </w:tcPr>
          <w:p w14:paraId="05760BCF"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tc>
        <w:tc>
          <w:tcPr>
            <w:tcW w:w="1417" w:type="dxa"/>
          </w:tcPr>
          <w:p w14:paraId="1CAFB8BA" w14:textId="77777777" w:rsidR="002C2F35" w:rsidRPr="007061E6" w:rsidRDefault="002C2F35" w:rsidP="004C0100">
            <w:pPr>
              <w:jc w:val="center"/>
              <w:rPr>
                <w:rFonts w:asciiTheme="majorHAnsi" w:hAnsiTheme="majorHAnsi"/>
                <w:b/>
                <w:i/>
                <w:sz w:val="24"/>
                <w:szCs w:val="24"/>
              </w:rPr>
            </w:pPr>
            <w:r w:rsidRPr="007061E6">
              <w:rPr>
                <w:rFonts w:asciiTheme="majorHAnsi" w:hAnsiTheme="majorHAnsi"/>
                <w:b/>
                <w:i/>
                <w:sz w:val="24"/>
                <w:szCs w:val="24"/>
              </w:rPr>
              <w:t>TOTALE</w:t>
            </w:r>
          </w:p>
        </w:tc>
        <w:tc>
          <w:tcPr>
            <w:tcW w:w="1134" w:type="dxa"/>
          </w:tcPr>
          <w:p w14:paraId="1C4E77B6" w14:textId="77B95372" w:rsidR="002C2F35" w:rsidRPr="007061E6" w:rsidRDefault="001F5706" w:rsidP="004C0100">
            <w:pPr>
              <w:jc w:val="center"/>
              <w:rPr>
                <w:rFonts w:asciiTheme="majorHAnsi" w:hAnsiTheme="majorHAnsi"/>
                <w:b/>
                <w:i/>
                <w:sz w:val="24"/>
                <w:szCs w:val="24"/>
              </w:rPr>
            </w:pPr>
            <w:r>
              <w:rPr>
                <w:rFonts w:asciiTheme="majorHAnsi" w:hAnsiTheme="majorHAnsi"/>
                <w:b/>
                <w:i/>
                <w:sz w:val="24"/>
                <w:szCs w:val="24"/>
              </w:rPr>
              <w:t>3,27</w:t>
            </w:r>
          </w:p>
        </w:tc>
      </w:tr>
    </w:tbl>
    <w:p w14:paraId="5ADE5CD1" w14:textId="77777777" w:rsidR="002C2F35" w:rsidRPr="007061E6" w:rsidRDefault="002C2F35" w:rsidP="002C2F35">
      <w:pPr>
        <w:rPr>
          <w:rFonts w:asciiTheme="majorHAnsi" w:hAnsiTheme="majorHAnsi"/>
        </w:rPr>
      </w:pPr>
    </w:p>
    <w:p w14:paraId="1F9BA51B" w14:textId="77777777" w:rsidR="002C2F35" w:rsidRPr="007061E6" w:rsidRDefault="002C2F35" w:rsidP="002C2F35">
      <w:pPr>
        <w:rPr>
          <w:rFonts w:asciiTheme="majorHAnsi" w:hAnsiTheme="majorHAnsi"/>
        </w:rPr>
      </w:pPr>
    </w:p>
    <w:p w14:paraId="3119B4DB" w14:textId="77777777" w:rsidR="002C2F35" w:rsidRPr="007061E6" w:rsidRDefault="002C2F35">
      <w:pPr>
        <w:rPr>
          <w:rFonts w:asciiTheme="majorHAnsi" w:hAnsiTheme="majorHAnsi"/>
        </w:rPr>
      </w:pPr>
      <w:r w:rsidRPr="007061E6">
        <w:rPr>
          <w:rFonts w:asciiTheme="majorHAnsi" w:hAnsiTheme="majorHAnsi"/>
        </w:rPr>
        <w:br w:type="page"/>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1418"/>
        <w:gridCol w:w="1417"/>
        <w:gridCol w:w="1134"/>
      </w:tblGrid>
      <w:tr w:rsidR="002C2F35" w:rsidRPr="007061E6" w14:paraId="14641686" w14:textId="77777777" w:rsidTr="00886514">
        <w:trPr>
          <w:trHeight w:val="580"/>
        </w:trPr>
        <w:tc>
          <w:tcPr>
            <w:tcW w:w="10348" w:type="dxa"/>
            <w:gridSpan w:val="4"/>
            <w:shd w:val="clear" w:color="auto" w:fill="4926CA"/>
          </w:tcPr>
          <w:p w14:paraId="423C0A4D" w14:textId="77777777" w:rsidR="002C2F35" w:rsidRPr="007061E6" w:rsidRDefault="002C2F35" w:rsidP="004C0100">
            <w:pPr>
              <w:jc w:val="center"/>
              <w:rPr>
                <w:rFonts w:asciiTheme="majorHAnsi" w:hAnsiTheme="majorHAnsi"/>
                <w:b/>
              </w:rPr>
            </w:pPr>
            <w:r w:rsidRPr="007061E6">
              <w:rPr>
                <w:rFonts w:asciiTheme="majorHAnsi" w:hAnsiTheme="majorHAnsi"/>
                <w:b/>
                <w:color w:val="FFFFFF"/>
                <w:sz w:val="36"/>
                <w:szCs w:val="36"/>
              </w:rPr>
              <w:lastRenderedPageBreak/>
              <w:t>OFFERTA</w:t>
            </w:r>
          </w:p>
        </w:tc>
      </w:tr>
      <w:tr w:rsidR="002C2F35" w:rsidRPr="007061E6" w14:paraId="6A73FC13" w14:textId="77777777" w:rsidTr="00886514">
        <w:trPr>
          <w:trHeight w:val="941"/>
        </w:trPr>
        <w:tc>
          <w:tcPr>
            <w:tcW w:w="6379" w:type="dxa"/>
            <w:shd w:val="clear" w:color="auto" w:fill="4926CA"/>
          </w:tcPr>
          <w:p w14:paraId="5EC0D165"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 xml:space="preserve">Misure e Obiettivi </w:t>
            </w:r>
          </w:p>
        </w:tc>
        <w:tc>
          <w:tcPr>
            <w:tcW w:w="1418" w:type="dxa"/>
            <w:shd w:val="clear" w:color="auto" w:fill="4926CA"/>
          </w:tcPr>
          <w:p w14:paraId="262DEACE"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Veicolo normativo impattato</w:t>
            </w:r>
          </w:p>
        </w:tc>
        <w:tc>
          <w:tcPr>
            <w:tcW w:w="1417" w:type="dxa"/>
            <w:shd w:val="clear" w:color="auto" w:fill="4926CA"/>
          </w:tcPr>
          <w:p w14:paraId="4A95B5E1"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Arco temporale</w:t>
            </w:r>
          </w:p>
        </w:tc>
        <w:tc>
          <w:tcPr>
            <w:tcW w:w="1134" w:type="dxa"/>
            <w:shd w:val="clear" w:color="auto" w:fill="4926CA"/>
          </w:tcPr>
          <w:p w14:paraId="6C6F58CB"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Risorse</w:t>
            </w:r>
          </w:p>
          <w:p w14:paraId="06AE5EB5" w14:textId="77777777" w:rsidR="002C2F35" w:rsidRPr="007061E6" w:rsidRDefault="002C2F35" w:rsidP="004C0100">
            <w:pPr>
              <w:jc w:val="center"/>
              <w:rPr>
                <w:rFonts w:asciiTheme="majorHAnsi" w:hAnsiTheme="majorHAnsi"/>
                <w:b/>
                <w:color w:val="FFFFFF"/>
                <w:sz w:val="24"/>
                <w:szCs w:val="24"/>
              </w:rPr>
            </w:pPr>
            <w:r w:rsidRPr="007061E6">
              <w:rPr>
                <w:rFonts w:asciiTheme="majorHAnsi" w:hAnsiTheme="majorHAnsi"/>
                <w:b/>
                <w:color w:val="FFFFFF"/>
                <w:sz w:val="24"/>
                <w:szCs w:val="24"/>
              </w:rPr>
              <w:t>[Mld €]</w:t>
            </w:r>
          </w:p>
        </w:tc>
      </w:tr>
      <w:tr w:rsidR="002C2F35" w:rsidRPr="007061E6" w14:paraId="36AC0021" w14:textId="77777777" w:rsidTr="00886514">
        <w:trPr>
          <w:trHeight w:val="3431"/>
        </w:trPr>
        <w:tc>
          <w:tcPr>
            <w:tcW w:w="6379" w:type="dxa"/>
          </w:tcPr>
          <w:p w14:paraId="7E9A5930"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 xml:space="preserve">O.1 </w:t>
            </w:r>
          </w:p>
          <w:p w14:paraId="025C830C" w14:textId="77777777" w:rsidR="002C2F35" w:rsidRPr="007061E6" w:rsidRDefault="002C2F35" w:rsidP="004C0100">
            <w:pPr>
              <w:pBdr>
                <w:top w:val="nil"/>
                <w:left w:val="nil"/>
                <w:bottom w:val="nil"/>
                <w:right w:val="nil"/>
                <w:between w:val="nil"/>
              </w:pBdr>
              <w:jc w:val="both"/>
              <w:rPr>
                <w:rFonts w:asciiTheme="majorHAnsi" w:hAnsiTheme="majorHAnsi"/>
                <w:b/>
                <w:i/>
                <w:color w:val="000000"/>
                <w:sz w:val="20"/>
                <w:szCs w:val="20"/>
                <w:highlight w:val="white"/>
                <w:u w:val="single"/>
              </w:rPr>
            </w:pPr>
            <w:r w:rsidRPr="007061E6">
              <w:rPr>
                <w:rFonts w:asciiTheme="majorHAnsi" w:hAnsiTheme="majorHAnsi"/>
                <w:b/>
                <w:i/>
                <w:color w:val="000000"/>
                <w:sz w:val="20"/>
                <w:szCs w:val="20"/>
                <w:highlight w:val="white"/>
                <w:u w:val="single"/>
              </w:rPr>
              <w:t xml:space="preserve"> Avvio di un terzo </w:t>
            </w:r>
            <w:r w:rsidRPr="007061E6">
              <w:rPr>
                <w:rFonts w:asciiTheme="majorHAnsi" w:hAnsiTheme="majorHAnsi"/>
                <w:b/>
                <w:i/>
                <w:sz w:val="20"/>
                <w:szCs w:val="20"/>
                <w:highlight w:val="white"/>
                <w:u w:val="single"/>
              </w:rPr>
              <w:t xml:space="preserve">IPCEI </w:t>
            </w:r>
            <w:r w:rsidRPr="007061E6">
              <w:rPr>
                <w:rFonts w:asciiTheme="majorHAnsi" w:hAnsiTheme="majorHAnsi"/>
                <w:b/>
                <w:i/>
                <w:color w:val="000000"/>
                <w:sz w:val="20"/>
                <w:szCs w:val="20"/>
                <w:highlight w:val="white"/>
                <w:u w:val="single"/>
              </w:rPr>
              <w:t xml:space="preserve">a guida italiana per un progetto </w:t>
            </w:r>
            <w:r w:rsidRPr="007061E6">
              <w:rPr>
                <w:rFonts w:asciiTheme="majorHAnsi" w:hAnsiTheme="majorHAnsi"/>
                <w:b/>
                <w:i/>
                <w:sz w:val="20"/>
                <w:szCs w:val="20"/>
                <w:highlight w:val="white"/>
                <w:u w:val="single"/>
              </w:rPr>
              <w:t>innovativo di ricerca e sviluppo</w:t>
            </w:r>
            <w:r w:rsidRPr="007061E6">
              <w:rPr>
                <w:rFonts w:asciiTheme="majorHAnsi" w:hAnsiTheme="majorHAnsi"/>
                <w:b/>
                <w:i/>
                <w:color w:val="000000"/>
                <w:sz w:val="20"/>
                <w:szCs w:val="20"/>
                <w:highlight w:val="white"/>
                <w:u w:val="single"/>
              </w:rPr>
              <w:t xml:space="preserve"> sulle nuove tecnologie e chimiche d</w:t>
            </w:r>
            <w:r w:rsidRPr="007061E6">
              <w:rPr>
                <w:rFonts w:asciiTheme="majorHAnsi" w:hAnsiTheme="majorHAnsi"/>
                <w:b/>
                <w:i/>
                <w:sz w:val="20"/>
                <w:szCs w:val="20"/>
                <w:highlight w:val="white"/>
                <w:u w:val="single"/>
              </w:rPr>
              <w:t>elle</w:t>
            </w:r>
            <w:r w:rsidRPr="007061E6">
              <w:rPr>
                <w:rFonts w:asciiTheme="majorHAnsi" w:hAnsiTheme="majorHAnsi"/>
                <w:b/>
                <w:i/>
                <w:color w:val="000000"/>
                <w:sz w:val="20"/>
                <w:szCs w:val="20"/>
                <w:highlight w:val="white"/>
                <w:u w:val="single"/>
              </w:rPr>
              <w:t xml:space="preserve"> batterie (stato solido, grafene) </w:t>
            </w:r>
            <w:r w:rsidRPr="007061E6">
              <w:rPr>
                <w:rFonts w:asciiTheme="majorHAnsi" w:hAnsiTheme="majorHAnsi"/>
                <w:b/>
                <w:i/>
                <w:sz w:val="20"/>
                <w:szCs w:val="20"/>
                <w:highlight w:val="white"/>
                <w:u w:val="single"/>
              </w:rPr>
              <w:t>destinate</w:t>
            </w:r>
            <w:r w:rsidRPr="007061E6">
              <w:rPr>
                <w:rFonts w:asciiTheme="majorHAnsi" w:hAnsiTheme="majorHAnsi"/>
                <w:b/>
                <w:i/>
                <w:color w:val="000000"/>
                <w:sz w:val="20"/>
                <w:szCs w:val="20"/>
                <w:highlight w:val="white"/>
                <w:u w:val="single"/>
              </w:rPr>
              <w:t xml:space="preserve"> al settore automotive e </w:t>
            </w:r>
            <w:r w:rsidRPr="007061E6">
              <w:rPr>
                <w:rFonts w:asciiTheme="majorHAnsi" w:hAnsiTheme="majorHAnsi"/>
                <w:b/>
                <w:i/>
                <w:sz w:val="20"/>
                <w:szCs w:val="20"/>
                <w:highlight w:val="white"/>
                <w:u w:val="single"/>
              </w:rPr>
              <w:t>avvio di un i</w:t>
            </w:r>
            <w:r w:rsidRPr="007061E6">
              <w:rPr>
                <w:rFonts w:asciiTheme="majorHAnsi" w:hAnsiTheme="majorHAnsi"/>
                <w:b/>
                <w:i/>
                <w:sz w:val="20"/>
                <w:szCs w:val="20"/>
                <w:u w:val="single"/>
              </w:rPr>
              <w:t>mpianto sperimentale (ma scalabile in futuro) per il riciclo e re</w:t>
            </w:r>
            <w:r w:rsidR="008434F7">
              <w:rPr>
                <w:rFonts w:asciiTheme="majorHAnsi" w:hAnsiTheme="majorHAnsi"/>
                <w:b/>
                <w:i/>
                <w:sz w:val="20"/>
                <w:szCs w:val="20"/>
                <w:u w:val="single"/>
              </w:rPr>
              <w:t>-</w:t>
            </w:r>
            <w:r w:rsidRPr="007061E6">
              <w:rPr>
                <w:rFonts w:asciiTheme="majorHAnsi" w:hAnsiTheme="majorHAnsi"/>
                <w:b/>
                <w:i/>
                <w:sz w:val="20"/>
                <w:szCs w:val="20"/>
                <w:u w:val="single"/>
              </w:rPr>
              <w:t>purposing delle batterie a fine vita dei veicoli full electric e plug-in</w:t>
            </w:r>
          </w:p>
          <w:p w14:paraId="321C1989" w14:textId="77777777" w:rsidR="002C2F35" w:rsidRPr="007061E6" w:rsidRDefault="002C2F35" w:rsidP="004C0100">
            <w:pPr>
              <w:pBdr>
                <w:top w:val="nil"/>
                <w:left w:val="nil"/>
                <w:bottom w:val="nil"/>
                <w:right w:val="nil"/>
                <w:between w:val="nil"/>
              </w:pBdr>
              <w:rPr>
                <w:rFonts w:asciiTheme="majorHAnsi" w:hAnsiTheme="majorHAnsi"/>
                <w:sz w:val="20"/>
                <w:szCs w:val="20"/>
                <w:highlight w:val="white"/>
              </w:rPr>
            </w:pPr>
            <w:r w:rsidRPr="007061E6">
              <w:rPr>
                <w:rFonts w:asciiTheme="majorHAnsi" w:hAnsiTheme="majorHAnsi"/>
                <w:sz w:val="20"/>
                <w:szCs w:val="20"/>
                <w:highlight w:val="white"/>
              </w:rPr>
              <w:t>Caratteristiche misura:</w:t>
            </w:r>
          </w:p>
          <w:p w14:paraId="7B0C5CC2" w14:textId="77777777" w:rsidR="002C2F35" w:rsidRPr="007061E6" w:rsidRDefault="002C2F35" w:rsidP="00EC4408">
            <w:pPr>
              <w:numPr>
                <w:ilvl w:val="0"/>
                <w:numId w:val="10"/>
              </w:numPr>
              <w:pBdr>
                <w:top w:val="nil"/>
                <w:left w:val="nil"/>
                <w:bottom w:val="nil"/>
                <w:right w:val="nil"/>
                <w:between w:val="nil"/>
              </w:pBdr>
              <w:spacing w:line="240" w:lineRule="auto"/>
              <w:jc w:val="both"/>
              <w:rPr>
                <w:rFonts w:asciiTheme="majorHAnsi" w:hAnsiTheme="majorHAnsi"/>
                <w:b/>
                <w:color w:val="000000"/>
                <w:sz w:val="20"/>
                <w:szCs w:val="20"/>
                <w:highlight w:val="white"/>
              </w:rPr>
            </w:pPr>
            <w:r w:rsidRPr="007061E6">
              <w:rPr>
                <w:rFonts w:asciiTheme="majorHAnsi" w:hAnsiTheme="majorHAnsi"/>
                <w:sz w:val="20"/>
                <w:szCs w:val="20"/>
                <w:highlight w:val="white"/>
              </w:rPr>
              <w:t xml:space="preserve">Dopo i primi due IPCEI a guida tedesca e francese, avvio di un terzo IPCEI a guida italiana focalizzato sulle nuove tipologie di batterie per il settore automotive (come ad es. quelle a stato solido);  </w:t>
            </w:r>
          </w:p>
          <w:p w14:paraId="244F73F7" w14:textId="77777777" w:rsidR="002C2F35" w:rsidRPr="007061E6" w:rsidRDefault="002C2F35" w:rsidP="00EC4408">
            <w:pPr>
              <w:numPr>
                <w:ilvl w:val="0"/>
                <w:numId w:val="10"/>
              </w:numPr>
              <w:pBdr>
                <w:top w:val="nil"/>
                <w:left w:val="nil"/>
                <w:bottom w:val="nil"/>
                <w:right w:val="nil"/>
                <w:between w:val="nil"/>
              </w:pBdr>
              <w:spacing w:line="240" w:lineRule="auto"/>
              <w:jc w:val="both"/>
              <w:rPr>
                <w:rFonts w:asciiTheme="majorHAnsi" w:hAnsiTheme="majorHAnsi"/>
                <w:sz w:val="20"/>
                <w:szCs w:val="20"/>
                <w:highlight w:val="white"/>
              </w:rPr>
            </w:pPr>
            <w:r w:rsidRPr="007061E6">
              <w:rPr>
                <w:rFonts w:asciiTheme="majorHAnsi" w:hAnsiTheme="majorHAnsi"/>
                <w:sz w:val="20"/>
                <w:szCs w:val="20"/>
                <w:highlight w:val="white"/>
              </w:rPr>
              <w:t>Cofinanziamento diretto al progetto da parte dell’Italia pari a 1 Mld € (dato lo status “IPCEI” del progetto, il cofinanziamento italiano non presenta criticità dal punto di vista degli Aiuti di Stato);</w:t>
            </w:r>
          </w:p>
          <w:p w14:paraId="17209D61" w14:textId="77777777" w:rsidR="002C2F35" w:rsidRPr="007061E6" w:rsidRDefault="002C2F35" w:rsidP="00EC4408">
            <w:pPr>
              <w:numPr>
                <w:ilvl w:val="0"/>
                <w:numId w:val="10"/>
              </w:numPr>
              <w:spacing w:line="240" w:lineRule="auto"/>
              <w:jc w:val="both"/>
              <w:rPr>
                <w:rFonts w:asciiTheme="majorHAnsi" w:hAnsiTheme="majorHAnsi"/>
                <w:sz w:val="20"/>
                <w:szCs w:val="20"/>
                <w:highlight w:val="white"/>
              </w:rPr>
            </w:pPr>
            <w:r w:rsidRPr="007061E6">
              <w:rPr>
                <w:rFonts w:asciiTheme="majorHAnsi" w:hAnsiTheme="majorHAnsi"/>
                <w:sz w:val="20"/>
                <w:szCs w:val="20"/>
              </w:rPr>
              <w:t xml:space="preserve">Compartecipazione dello Stato (es. tramite CDP o Invitalia) al 40% nella costruzione di un impianto sperimentale, scalabile in futuro, per il riciclo e </w:t>
            </w:r>
            <w:r w:rsidRPr="008434F7">
              <w:rPr>
                <w:rFonts w:asciiTheme="majorHAnsi" w:hAnsiTheme="majorHAnsi"/>
                <w:i/>
                <w:iCs/>
                <w:sz w:val="20"/>
                <w:szCs w:val="20"/>
              </w:rPr>
              <w:t>re</w:t>
            </w:r>
            <w:r w:rsidR="008434F7" w:rsidRPr="008434F7">
              <w:rPr>
                <w:rFonts w:asciiTheme="majorHAnsi" w:hAnsiTheme="majorHAnsi"/>
                <w:i/>
                <w:iCs/>
                <w:sz w:val="20"/>
                <w:szCs w:val="20"/>
              </w:rPr>
              <w:t>-</w:t>
            </w:r>
            <w:r w:rsidRPr="008434F7">
              <w:rPr>
                <w:rFonts w:asciiTheme="majorHAnsi" w:hAnsiTheme="majorHAnsi"/>
                <w:i/>
                <w:iCs/>
                <w:sz w:val="20"/>
                <w:szCs w:val="20"/>
              </w:rPr>
              <w:t xml:space="preserve">purposing </w:t>
            </w:r>
            <w:r w:rsidRPr="007061E6">
              <w:rPr>
                <w:rFonts w:asciiTheme="majorHAnsi" w:hAnsiTheme="majorHAnsi"/>
                <w:sz w:val="20"/>
                <w:szCs w:val="20"/>
              </w:rPr>
              <w:t>delle batterie a fine vita dei veicoli elettrici.</w:t>
            </w:r>
          </w:p>
          <w:p w14:paraId="59425320" w14:textId="77777777" w:rsidR="002C2F35" w:rsidRPr="007061E6" w:rsidRDefault="002C2F35" w:rsidP="004C0100">
            <w:pPr>
              <w:pBdr>
                <w:top w:val="nil"/>
                <w:left w:val="nil"/>
                <w:bottom w:val="nil"/>
                <w:right w:val="nil"/>
                <w:between w:val="nil"/>
              </w:pBdr>
              <w:jc w:val="both"/>
              <w:rPr>
                <w:rFonts w:asciiTheme="majorHAnsi" w:hAnsiTheme="majorHAnsi"/>
                <w:highlight w:val="white"/>
              </w:rPr>
            </w:pPr>
          </w:p>
          <w:p w14:paraId="607BD800" w14:textId="77777777" w:rsidR="002C2F35" w:rsidRPr="007061E6" w:rsidRDefault="002C2F35" w:rsidP="004C0100">
            <w:pPr>
              <w:pBdr>
                <w:top w:val="nil"/>
                <w:left w:val="nil"/>
                <w:bottom w:val="nil"/>
                <w:right w:val="nil"/>
                <w:between w:val="nil"/>
              </w:pBdr>
              <w:jc w:val="both"/>
              <w:rPr>
                <w:rFonts w:asciiTheme="majorHAnsi" w:hAnsiTheme="majorHAnsi"/>
                <w:sz w:val="20"/>
                <w:szCs w:val="20"/>
                <w:highlight w:val="white"/>
              </w:rPr>
            </w:pPr>
            <w:r w:rsidRPr="007061E6">
              <w:rPr>
                <w:rFonts w:asciiTheme="majorHAnsi" w:hAnsiTheme="majorHAnsi"/>
                <w:sz w:val="20"/>
                <w:szCs w:val="20"/>
                <w:highlight w:val="white"/>
              </w:rPr>
              <w:t xml:space="preserve">Risultati attesi: </w:t>
            </w:r>
          </w:p>
          <w:p w14:paraId="0A1A6EFD" w14:textId="77777777" w:rsidR="002C2F35" w:rsidRPr="007061E6" w:rsidRDefault="002C2F35" w:rsidP="00EC4408">
            <w:pPr>
              <w:numPr>
                <w:ilvl w:val="0"/>
                <w:numId w:val="25"/>
              </w:numPr>
              <w:pBdr>
                <w:top w:val="nil"/>
                <w:left w:val="nil"/>
                <w:bottom w:val="nil"/>
                <w:right w:val="nil"/>
                <w:between w:val="nil"/>
              </w:pBdr>
              <w:spacing w:line="240" w:lineRule="auto"/>
              <w:jc w:val="both"/>
              <w:rPr>
                <w:rFonts w:asciiTheme="majorHAnsi" w:hAnsiTheme="majorHAnsi"/>
                <w:sz w:val="20"/>
                <w:szCs w:val="20"/>
                <w:highlight w:val="white"/>
              </w:rPr>
            </w:pPr>
            <w:r w:rsidRPr="007061E6">
              <w:rPr>
                <w:rFonts w:asciiTheme="majorHAnsi" w:hAnsiTheme="majorHAnsi"/>
                <w:sz w:val="20"/>
                <w:szCs w:val="20"/>
                <w:highlight w:val="white"/>
              </w:rPr>
              <w:t>Opportunità di guidare lo sviluppo tecnologico delle batterie che potranno essere utilizzate nelle vetture elettriche del futuro;</w:t>
            </w:r>
          </w:p>
          <w:p w14:paraId="3320A478" w14:textId="77777777" w:rsidR="002C2F35" w:rsidRPr="007061E6" w:rsidRDefault="002C2F35" w:rsidP="00EC4408">
            <w:pPr>
              <w:numPr>
                <w:ilvl w:val="0"/>
                <w:numId w:val="25"/>
              </w:numPr>
              <w:spacing w:line="240" w:lineRule="auto"/>
              <w:rPr>
                <w:rFonts w:asciiTheme="majorHAnsi" w:hAnsiTheme="majorHAnsi"/>
                <w:sz w:val="20"/>
                <w:szCs w:val="20"/>
                <w:highlight w:val="white"/>
              </w:rPr>
            </w:pPr>
            <w:r w:rsidRPr="007061E6">
              <w:rPr>
                <w:rFonts w:asciiTheme="majorHAnsi" w:hAnsiTheme="majorHAnsi"/>
                <w:sz w:val="20"/>
                <w:szCs w:val="20"/>
              </w:rPr>
              <w:t xml:space="preserve">Primo impianto in Italia per riciclo e </w:t>
            </w:r>
            <w:r w:rsidRPr="008434F7">
              <w:rPr>
                <w:rFonts w:asciiTheme="majorHAnsi" w:hAnsiTheme="majorHAnsi"/>
                <w:i/>
                <w:iCs/>
                <w:sz w:val="20"/>
                <w:szCs w:val="20"/>
              </w:rPr>
              <w:t>re</w:t>
            </w:r>
            <w:r w:rsidR="008434F7" w:rsidRPr="008434F7">
              <w:rPr>
                <w:rFonts w:asciiTheme="majorHAnsi" w:hAnsiTheme="majorHAnsi"/>
                <w:i/>
                <w:iCs/>
                <w:sz w:val="20"/>
                <w:szCs w:val="20"/>
              </w:rPr>
              <w:t>-</w:t>
            </w:r>
            <w:r w:rsidRPr="008434F7">
              <w:rPr>
                <w:rFonts w:asciiTheme="majorHAnsi" w:hAnsiTheme="majorHAnsi"/>
                <w:i/>
                <w:iCs/>
                <w:sz w:val="20"/>
                <w:szCs w:val="20"/>
              </w:rPr>
              <w:t>purposing</w:t>
            </w:r>
            <w:r w:rsidRPr="007061E6">
              <w:rPr>
                <w:rFonts w:asciiTheme="majorHAnsi" w:hAnsiTheme="majorHAnsi"/>
                <w:sz w:val="20"/>
                <w:szCs w:val="20"/>
              </w:rPr>
              <w:t xml:space="preserve"> delle batterie di veicoli elettrici.</w:t>
            </w:r>
          </w:p>
          <w:p w14:paraId="06527127" w14:textId="77777777" w:rsidR="002C2F35" w:rsidRPr="007061E6" w:rsidRDefault="002C2F35" w:rsidP="004C0100">
            <w:pPr>
              <w:pBdr>
                <w:top w:val="nil"/>
                <w:left w:val="nil"/>
                <w:bottom w:val="nil"/>
                <w:right w:val="nil"/>
                <w:between w:val="nil"/>
              </w:pBdr>
              <w:jc w:val="both"/>
              <w:rPr>
                <w:rFonts w:asciiTheme="majorHAnsi" w:hAnsiTheme="majorHAnsi"/>
                <w:sz w:val="20"/>
                <w:szCs w:val="20"/>
                <w:highlight w:val="white"/>
              </w:rPr>
            </w:pPr>
            <w:r w:rsidRPr="007061E6">
              <w:rPr>
                <w:rFonts w:asciiTheme="majorHAnsi" w:hAnsiTheme="majorHAnsi"/>
                <w:sz w:val="20"/>
                <w:szCs w:val="20"/>
                <w:highlight w:val="white"/>
              </w:rPr>
              <w:t>Altro:</w:t>
            </w:r>
          </w:p>
          <w:p w14:paraId="23CBABAD" w14:textId="77777777" w:rsidR="002C2F35" w:rsidRPr="007061E6" w:rsidRDefault="002C2F35" w:rsidP="00EC4408">
            <w:pPr>
              <w:numPr>
                <w:ilvl w:val="0"/>
                <w:numId w:val="18"/>
              </w:numPr>
              <w:pBdr>
                <w:top w:val="nil"/>
                <w:left w:val="nil"/>
                <w:bottom w:val="nil"/>
                <w:right w:val="nil"/>
                <w:between w:val="nil"/>
              </w:pBdr>
              <w:spacing w:line="240" w:lineRule="auto"/>
              <w:jc w:val="both"/>
              <w:rPr>
                <w:rFonts w:asciiTheme="majorHAnsi" w:hAnsiTheme="majorHAnsi"/>
                <w:highlight w:val="white"/>
              </w:rPr>
            </w:pPr>
            <w:r w:rsidRPr="007061E6">
              <w:rPr>
                <w:rFonts w:asciiTheme="majorHAnsi" w:hAnsiTheme="majorHAnsi"/>
                <w:sz w:val="20"/>
                <w:szCs w:val="20"/>
                <w:highlight w:val="white"/>
              </w:rPr>
              <w:t>Scheda componente attuale PNRR (29/12): M4C2</w:t>
            </w:r>
            <w:r w:rsidRPr="007061E6">
              <w:rPr>
                <w:rFonts w:asciiTheme="majorHAnsi" w:hAnsiTheme="majorHAnsi"/>
                <w:highlight w:val="white"/>
              </w:rPr>
              <w:t>.</w:t>
            </w:r>
          </w:p>
        </w:tc>
        <w:tc>
          <w:tcPr>
            <w:tcW w:w="1418" w:type="dxa"/>
          </w:tcPr>
          <w:p w14:paraId="5785E2C3"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IPCEI</w:t>
            </w:r>
          </w:p>
        </w:tc>
        <w:tc>
          <w:tcPr>
            <w:tcW w:w="1417" w:type="dxa"/>
          </w:tcPr>
          <w:p w14:paraId="465947A7"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6A1EB253"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 xml:space="preserve">1,05 </w:t>
            </w:r>
          </w:p>
        </w:tc>
      </w:tr>
      <w:tr w:rsidR="002C2F35" w:rsidRPr="007061E6" w14:paraId="3343EBF4" w14:textId="77777777" w:rsidTr="00886514">
        <w:trPr>
          <w:trHeight w:val="1842"/>
        </w:trPr>
        <w:tc>
          <w:tcPr>
            <w:tcW w:w="6379" w:type="dxa"/>
          </w:tcPr>
          <w:p w14:paraId="7F8DD3FE"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O.2</w:t>
            </w:r>
          </w:p>
          <w:p w14:paraId="7F0AA796" w14:textId="77777777" w:rsidR="002C2F35" w:rsidRPr="007061E6" w:rsidRDefault="002C2F35" w:rsidP="004C0100">
            <w:pPr>
              <w:rPr>
                <w:rFonts w:asciiTheme="majorHAnsi" w:hAnsiTheme="majorHAnsi"/>
                <w:b/>
                <w:i/>
                <w:sz w:val="30"/>
                <w:szCs w:val="30"/>
                <w:u w:val="single"/>
              </w:rPr>
            </w:pPr>
            <w:r w:rsidRPr="007061E6">
              <w:rPr>
                <w:rFonts w:asciiTheme="majorHAnsi" w:hAnsiTheme="majorHAnsi"/>
                <w:b/>
                <w:i/>
                <w:sz w:val="20"/>
                <w:szCs w:val="20"/>
                <w:u w:val="single"/>
              </w:rPr>
              <w:t>Indirizzi per il Nuovo Piano Transizione 4.0</w:t>
            </w:r>
            <w:r w:rsidRPr="007061E6">
              <w:rPr>
                <w:rFonts w:asciiTheme="majorHAnsi" w:hAnsiTheme="majorHAnsi"/>
                <w:b/>
                <w:i/>
                <w:sz w:val="30"/>
                <w:szCs w:val="30"/>
                <w:u w:val="single"/>
              </w:rPr>
              <w:t xml:space="preserve"> </w:t>
            </w:r>
          </w:p>
          <w:p w14:paraId="56CC307C" w14:textId="77777777" w:rsidR="002C2F35" w:rsidRPr="007061E6" w:rsidRDefault="002C2F35" w:rsidP="004C0100">
            <w:pPr>
              <w:rPr>
                <w:rFonts w:asciiTheme="majorHAnsi" w:hAnsiTheme="majorHAnsi"/>
                <w:b/>
                <w:i/>
                <w:sz w:val="20"/>
                <w:szCs w:val="20"/>
                <w:u w:val="single"/>
              </w:rPr>
            </w:pPr>
          </w:p>
          <w:p w14:paraId="726CDCC9" w14:textId="77777777" w:rsidR="002C2F35" w:rsidRPr="007061E6" w:rsidRDefault="002C2F35" w:rsidP="00EC4408">
            <w:pPr>
              <w:numPr>
                <w:ilvl w:val="0"/>
                <w:numId w:val="22"/>
              </w:numPr>
              <w:spacing w:line="240" w:lineRule="auto"/>
              <w:rPr>
                <w:rFonts w:asciiTheme="majorHAnsi" w:hAnsiTheme="majorHAnsi"/>
                <w:b/>
              </w:rPr>
            </w:pPr>
            <w:r w:rsidRPr="007061E6">
              <w:rPr>
                <w:rFonts w:asciiTheme="majorHAnsi" w:hAnsiTheme="majorHAnsi"/>
                <w:b/>
                <w:sz w:val="20"/>
                <w:szCs w:val="20"/>
              </w:rPr>
              <w:t>Formazione delle imprese e dei professionisti - Potenziamento dello strumento del credito d'imposta per la formazione</w:t>
            </w:r>
          </w:p>
          <w:p w14:paraId="555EFFC2"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Caratteristiche misura:</w:t>
            </w:r>
          </w:p>
          <w:p w14:paraId="38868F51" w14:textId="77777777" w:rsidR="002C2F35" w:rsidRPr="007061E6" w:rsidRDefault="002C2F35" w:rsidP="00EC4408">
            <w:pPr>
              <w:numPr>
                <w:ilvl w:val="0"/>
                <w:numId w:val="35"/>
              </w:numPr>
              <w:spacing w:after="240" w:line="240" w:lineRule="auto"/>
              <w:jc w:val="both"/>
              <w:rPr>
                <w:rFonts w:asciiTheme="majorHAnsi" w:hAnsiTheme="majorHAnsi"/>
                <w:sz w:val="20"/>
                <w:szCs w:val="20"/>
              </w:rPr>
            </w:pPr>
            <w:r w:rsidRPr="007061E6">
              <w:rPr>
                <w:rFonts w:asciiTheme="majorHAnsi" w:hAnsiTheme="majorHAnsi"/>
                <w:sz w:val="20"/>
                <w:szCs w:val="20"/>
              </w:rPr>
              <w:t>Potenziamento dello strumento del credito d'imposta per la formazione del personale, già previsto dal Piano Nazionale Impresa 4.0, per i lavoratori addetti ai processi produttivi, alla progettazione e fabbricazione dei prodotti, ma anche alle reti di vendita (concessionari) e assistenza post-vendita (officine) con un focus sull'elettrificazione e la digitalizzazione della mobilità.</w:t>
            </w:r>
          </w:p>
          <w:p w14:paraId="1D34E81A" w14:textId="77777777" w:rsidR="002C2F35" w:rsidRPr="007061E6" w:rsidRDefault="002C2F35" w:rsidP="004C0100">
            <w:pPr>
              <w:spacing w:before="240"/>
              <w:ind w:left="360"/>
              <w:jc w:val="both"/>
              <w:rPr>
                <w:rFonts w:asciiTheme="majorHAnsi" w:hAnsiTheme="majorHAnsi"/>
                <w:sz w:val="20"/>
                <w:szCs w:val="20"/>
              </w:rPr>
            </w:pPr>
            <w:r w:rsidRPr="007061E6">
              <w:rPr>
                <w:rFonts w:asciiTheme="majorHAnsi" w:hAnsiTheme="majorHAnsi"/>
                <w:sz w:val="20"/>
                <w:szCs w:val="20"/>
              </w:rPr>
              <w:t>Risultati attesi:</w:t>
            </w:r>
          </w:p>
          <w:p w14:paraId="11B8E07A" w14:textId="77777777" w:rsidR="002C2F35" w:rsidRPr="007061E6" w:rsidRDefault="002C2F35" w:rsidP="00EC4408">
            <w:pPr>
              <w:numPr>
                <w:ilvl w:val="0"/>
                <w:numId w:val="34"/>
              </w:numPr>
              <w:spacing w:line="240" w:lineRule="auto"/>
              <w:jc w:val="both"/>
              <w:rPr>
                <w:rFonts w:asciiTheme="majorHAnsi" w:hAnsiTheme="majorHAnsi"/>
                <w:sz w:val="20"/>
                <w:szCs w:val="20"/>
              </w:rPr>
            </w:pPr>
            <w:r w:rsidRPr="007061E6">
              <w:rPr>
                <w:rFonts w:asciiTheme="majorHAnsi" w:hAnsiTheme="majorHAnsi"/>
                <w:sz w:val="20"/>
                <w:szCs w:val="20"/>
              </w:rPr>
              <w:t>Formazione di 55.000 addetti del comparto automotive (automakers e componentistica);</w:t>
            </w:r>
          </w:p>
          <w:p w14:paraId="7C88502E" w14:textId="77777777" w:rsidR="002C2F35" w:rsidRDefault="002C2F35" w:rsidP="00EC4408">
            <w:pPr>
              <w:numPr>
                <w:ilvl w:val="0"/>
                <w:numId w:val="34"/>
              </w:numPr>
              <w:spacing w:line="240" w:lineRule="auto"/>
              <w:jc w:val="both"/>
              <w:rPr>
                <w:rFonts w:asciiTheme="majorHAnsi" w:hAnsiTheme="majorHAnsi"/>
                <w:sz w:val="20"/>
                <w:szCs w:val="20"/>
              </w:rPr>
            </w:pPr>
            <w:r w:rsidRPr="007061E6">
              <w:rPr>
                <w:rFonts w:asciiTheme="majorHAnsi" w:hAnsiTheme="majorHAnsi"/>
                <w:sz w:val="20"/>
                <w:szCs w:val="20"/>
              </w:rPr>
              <w:lastRenderedPageBreak/>
              <w:t>Formazione di 40.000 addetti alla manutenzione e riparazione di cui almeno 1 addetto di almeno 1 officina autorizzata per ciascuna delle 107 province italiane.</w:t>
            </w:r>
          </w:p>
          <w:p w14:paraId="1478E6D4" w14:textId="77777777" w:rsidR="00BF6183" w:rsidRPr="00BF6183" w:rsidRDefault="00BF6183" w:rsidP="00BF6183">
            <w:pPr>
              <w:spacing w:line="240" w:lineRule="auto"/>
              <w:ind w:left="720"/>
              <w:jc w:val="both"/>
              <w:rPr>
                <w:rFonts w:asciiTheme="majorHAnsi" w:hAnsiTheme="majorHAnsi"/>
                <w:sz w:val="20"/>
                <w:szCs w:val="20"/>
              </w:rPr>
            </w:pPr>
          </w:p>
          <w:p w14:paraId="7D3C1F10" w14:textId="77777777" w:rsidR="002C2F35" w:rsidRPr="007061E6" w:rsidRDefault="002C2F35" w:rsidP="00EC4408">
            <w:pPr>
              <w:numPr>
                <w:ilvl w:val="0"/>
                <w:numId w:val="22"/>
              </w:numPr>
              <w:spacing w:line="240" w:lineRule="auto"/>
              <w:jc w:val="both"/>
              <w:rPr>
                <w:rFonts w:asciiTheme="majorHAnsi" w:hAnsiTheme="majorHAnsi"/>
                <w:b/>
              </w:rPr>
            </w:pPr>
            <w:r w:rsidRPr="007061E6">
              <w:rPr>
                <w:rFonts w:asciiTheme="majorHAnsi" w:hAnsiTheme="majorHAnsi"/>
                <w:b/>
                <w:sz w:val="20"/>
                <w:szCs w:val="20"/>
              </w:rPr>
              <w:t>Indirizzamento verso una specifica area del Nuovo Piano Transizione 4.0 riservata alla digitalizzazione e innovazione dell’industria automotive e annessa filiera della componentistica, con particolare riferimento alla mobilità elettrica</w:t>
            </w:r>
          </w:p>
          <w:p w14:paraId="0680B708" w14:textId="77777777" w:rsidR="002C2F35" w:rsidRPr="007061E6" w:rsidRDefault="002C2F35" w:rsidP="004C0100">
            <w:pPr>
              <w:jc w:val="both"/>
              <w:rPr>
                <w:rFonts w:asciiTheme="majorHAnsi" w:hAnsiTheme="majorHAnsi"/>
              </w:rPr>
            </w:pPr>
            <w:r w:rsidRPr="007061E6">
              <w:rPr>
                <w:rFonts w:asciiTheme="majorHAnsi" w:hAnsiTheme="majorHAnsi"/>
                <w:sz w:val="20"/>
                <w:szCs w:val="20"/>
              </w:rPr>
              <w:t>Caratteristiche della misura:</w:t>
            </w:r>
          </w:p>
          <w:p w14:paraId="12FA5818" w14:textId="77777777" w:rsidR="002C2F35" w:rsidRPr="007061E6" w:rsidRDefault="002C2F35" w:rsidP="00EC4408">
            <w:pPr>
              <w:pStyle w:val="Paragrafoelenco"/>
              <w:numPr>
                <w:ilvl w:val="0"/>
                <w:numId w:val="42"/>
              </w:numPr>
              <w:spacing w:after="160" w:line="259" w:lineRule="auto"/>
              <w:jc w:val="both"/>
              <w:rPr>
                <w:rFonts w:asciiTheme="majorHAnsi" w:hAnsiTheme="majorHAnsi"/>
                <w:sz w:val="20"/>
                <w:szCs w:val="20"/>
              </w:rPr>
            </w:pPr>
            <w:r w:rsidRPr="007061E6">
              <w:rPr>
                <w:rFonts w:asciiTheme="majorHAnsi" w:hAnsiTheme="majorHAnsi"/>
                <w:sz w:val="20"/>
                <w:szCs w:val="20"/>
              </w:rPr>
              <w:t xml:space="preserve">Rimodulazione dei </w:t>
            </w:r>
            <w:r w:rsidRPr="007061E6">
              <w:rPr>
                <w:rFonts w:asciiTheme="majorHAnsi" w:hAnsiTheme="majorHAnsi"/>
                <w:sz w:val="20"/>
                <w:szCs w:val="20"/>
                <w:highlight w:val="white"/>
              </w:rPr>
              <w:t xml:space="preserve">crediti d’imposta per </w:t>
            </w:r>
            <w:r w:rsidRPr="007061E6">
              <w:rPr>
                <w:rFonts w:asciiTheme="majorHAnsi" w:hAnsiTheme="majorHAnsi"/>
                <w:sz w:val="20"/>
                <w:szCs w:val="20"/>
              </w:rPr>
              <w:t>R&amp;D e innovazione di prodotto.</w:t>
            </w:r>
          </w:p>
        </w:tc>
        <w:tc>
          <w:tcPr>
            <w:tcW w:w="1418" w:type="dxa"/>
          </w:tcPr>
          <w:p w14:paraId="29124E50" w14:textId="77777777" w:rsidR="002C2F35" w:rsidRPr="008434F7" w:rsidRDefault="002C2F35" w:rsidP="004C0100">
            <w:pPr>
              <w:jc w:val="center"/>
              <w:rPr>
                <w:rFonts w:asciiTheme="majorHAnsi" w:hAnsiTheme="majorHAnsi"/>
                <w:b/>
                <w:i/>
                <w:iCs/>
                <w:sz w:val="20"/>
                <w:szCs w:val="20"/>
              </w:rPr>
            </w:pPr>
            <w:r w:rsidRPr="008434F7">
              <w:rPr>
                <w:rFonts w:asciiTheme="majorHAnsi" w:hAnsiTheme="majorHAnsi"/>
                <w:b/>
                <w:i/>
                <w:iCs/>
                <w:sz w:val="20"/>
                <w:szCs w:val="20"/>
              </w:rPr>
              <w:lastRenderedPageBreak/>
              <w:t>Piano Transizione 4.0 (Dl Imprese)</w:t>
            </w:r>
          </w:p>
        </w:tc>
        <w:tc>
          <w:tcPr>
            <w:tcW w:w="1417" w:type="dxa"/>
          </w:tcPr>
          <w:p w14:paraId="3E531261"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2022-2025</w:t>
            </w:r>
          </w:p>
        </w:tc>
        <w:tc>
          <w:tcPr>
            <w:tcW w:w="1134" w:type="dxa"/>
          </w:tcPr>
          <w:p w14:paraId="13F4D960" w14:textId="77777777" w:rsidR="002C2F35" w:rsidRPr="007061E6" w:rsidRDefault="002C2F35" w:rsidP="004C0100">
            <w:pPr>
              <w:jc w:val="center"/>
              <w:rPr>
                <w:rFonts w:asciiTheme="majorHAnsi" w:hAnsiTheme="majorHAnsi"/>
                <w:b/>
                <w:i/>
                <w:sz w:val="20"/>
                <w:szCs w:val="20"/>
                <w:highlight w:val="white"/>
              </w:rPr>
            </w:pPr>
            <w:r w:rsidRPr="007061E6">
              <w:rPr>
                <w:rFonts w:asciiTheme="majorHAnsi" w:hAnsiTheme="majorHAnsi"/>
                <w:b/>
                <w:i/>
                <w:sz w:val="20"/>
                <w:szCs w:val="20"/>
                <w:highlight w:val="white"/>
              </w:rPr>
              <w:t>2,07</w:t>
            </w:r>
          </w:p>
        </w:tc>
      </w:tr>
      <w:tr w:rsidR="002C2F35" w:rsidRPr="007061E6" w14:paraId="147B51DA" w14:textId="77777777" w:rsidTr="00886514">
        <w:trPr>
          <w:trHeight w:val="3431"/>
        </w:trPr>
        <w:tc>
          <w:tcPr>
            <w:tcW w:w="6379" w:type="dxa"/>
          </w:tcPr>
          <w:p w14:paraId="4FBFAC55"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lastRenderedPageBreak/>
              <w:t>O.3</w:t>
            </w:r>
          </w:p>
          <w:p w14:paraId="074317AB" w14:textId="77777777" w:rsidR="002C2F35" w:rsidRPr="007061E6" w:rsidRDefault="002C2F35" w:rsidP="004C0100">
            <w:pPr>
              <w:pBdr>
                <w:top w:val="nil"/>
                <w:left w:val="nil"/>
                <w:bottom w:val="nil"/>
                <w:right w:val="nil"/>
                <w:between w:val="nil"/>
              </w:pBdr>
              <w:rPr>
                <w:rFonts w:asciiTheme="majorHAnsi" w:hAnsiTheme="majorHAnsi"/>
                <w:b/>
                <w:i/>
                <w:color w:val="000000"/>
                <w:sz w:val="20"/>
                <w:szCs w:val="20"/>
                <w:u w:val="single"/>
              </w:rPr>
            </w:pPr>
            <w:r w:rsidRPr="007061E6">
              <w:rPr>
                <w:rFonts w:asciiTheme="majorHAnsi" w:hAnsiTheme="majorHAnsi"/>
                <w:b/>
                <w:i/>
                <w:sz w:val="20"/>
                <w:szCs w:val="20"/>
                <w:u w:val="single"/>
              </w:rPr>
              <w:t xml:space="preserve">Raddoppio del </w:t>
            </w:r>
            <w:r w:rsidRPr="007061E6">
              <w:rPr>
                <w:rFonts w:asciiTheme="majorHAnsi" w:hAnsiTheme="majorHAnsi"/>
                <w:b/>
                <w:i/>
                <w:color w:val="000000"/>
                <w:sz w:val="20"/>
                <w:szCs w:val="20"/>
                <w:u w:val="single"/>
              </w:rPr>
              <w:t>fondo per</w:t>
            </w:r>
            <w:r w:rsidRPr="007061E6">
              <w:rPr>
                <w:rFonts w:asciiTheme="majorHAnsi" w:hAnsiTheme="majorHAnsi"/>
                <w:b/>
                <w:i/>
                <w:sz w:val="20"/>
                <w:szCs w:val="20"/>
                <w:u w:val="single"/>
              </w:rPr>
              <w:t xml:space="preserve"> la fabbricazione di </w:t>
            </w:r>
            <w:r w:rsidRPr="007061E6">
              <w:rPr>
                <w:rFonts w:asciiTheme="majorHAnsi" w:hAnsiTheme="majorHAnsi"/>
                <w:b/>
                <w:i/>
                <w:color w:val="000000"/>
                <w:sz w:val="20"/>
                <w:szCs w:val="20"/>
                <w:u w:val="single"/>
              </w:rPr>
              <w:t>autobus e</w:t>
            </w:r>
            <w:r w:rsidRPr="007061E6">
              <w:rPr>
                <w:rFonts w:asciiTheme="majorHAnsi" w:hAnsiTheme="majorHAnsi"/>
                <w:b/>
                <w:i/>
                <w:sz w:val="20"/>
                <w:szCs w:val="20"/>
                <w:u w:val="single"/>
              </w:rPr>
              <w:t xml:space="preserve">lettrici </w:t>
            </w:r>
          </w:p>
          <w:p w14:paraId="33EFA5FB"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Caratteristiche misura:</w:t>
            </w:r>
          </w:p>
          <w:p w14:paraId="0BBF6421" w14:textId="77777777" w:rsidR="002C2F35" w:rsidRPr="007061E6" w:rsidRDefault="002C2F35" w:rsidP="00EC4408">
            <w:pPr>
              <w:numPr>
                <w:ilvl w:val="0"/>
                <w:numId w:val="15"/>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Ulteriori 100 Mln € per la fabbricazione di autobus esclusivamente elettrici tramite contratti di sviluppi opportunamente rivisti;</w:t>
            </w:r>
          </w:p>
          <w:p w14:paraId="48710694" w14:textId="77777777" w:rsidR="002C2F35" w:rsidRPr="007061E6" w:rsidRDefault="002C2F35" w:rsidP="00EC4408">
            <w:pPr>
              <w:numPr>
                <w:ilvl w:val="0"/>
                <w:numId w:val="15"/>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Necessaria una modifica dei contratti di sviluppo.</w:t>
            </w:r>
          </w:p>
          <w:p w14:paraId="33162545" w14:textId="77777777" w:rsidR="002C2F35" w:rsidRPr="007061E6" w:rsidRDefault="002C2F35" w:rsidP="004C0100">
            <w:pPr>
              <w:pBdr>
                <w:top w:val="nil"/>
                <w:left w:val="nil"/>
                <w:bottom w:val="nil"/>
                <w:right w:val="nil"/>
                <w:between w:val="nil"/>
              </w:pBdr>
              <w:jc w:val="both"/>
              <w:rPr>
                <w:rFonts w:asciiTheme="majorHAnsi" w:hAnsiTheme="majorHAnsi"/>
                <w:sz w:val="20"/>
                <w:szCs w:val="20"/>
              </w:rPr>
            </w:pPr>
          </w:p>
          <w:p w14:paraId="73A0A92C" w14:textId="77777777" w:rsidR="002C2F35" w:rsidRPr="007061E6" w:rsidRDefault="002C2F35" w:rsidP="004C0100">
            <w:pPr>
              <w:pBdr>
                <w:top w:val="nil"/>
                <w:left w:val="nil"/>
                <w:bottom w:val="nil"/>
                <w:right w:val="nil"/>
                <w:between w:val="nil"/>
              </w:pBdr>
              <w:jc w:val="both"/>
              <w:rPr>
                <w:rFonts w:asciiTheme="majorHAnsi" w:hAnsiTheme="majorHAnsi"/>
                <w:sz w:val="20"/>
                <w:szCs w:val="20"/>
              </w:rPr>
            </w:pPr>
            <w:r w:rsidRPr="007061E6">
              <w:rPr>
                <w:rFonts w:asciiTheme="majorHAnsi" w:hAnsiTheme="majorHAnsi"/>
                <w:sz w:val="20"/>
                <w:szCs w:val="20"/>
              </w:rPr>
              <w:t>Risultati attesi alla fine dell’arco temporale:</w:t>
            </w:r>
          </w:p>
          <w:p w14:paraId="7586E668" w14:textId="77777777" w:rsidR="002C2F35" w:rsidRPr="007061E6" w:rsidRDefault="002C2F35" w:rsidP="00EC4408">
            <w:pPr>
              <w:numPr>
                <w:ilvl w:val="0"/>
                <w:numId w:val="30"/>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Incremento offerta di autobus elettrici.</w:t>
            </w:r>
          </w:p>
          <w:p w14:paraId="53421380" w14:textId="77777777" w:rsidR="002C2F35" w:rsidRPr="007061E6" w:rsidRDefault="002C2F35" w:rsidP="004C0100">
            <w:pPr>
              <w:pBdr>
                <w:top w:val="nil"/>
                <w:left w:val="nil"/>
                <w:bottom w:val="nil"/>
                <w:right w:val="nil"/>
                <w:between w:val="nil"/>
              </w:pBdr>
              <w:rPr>
                <w:rFonts w:asciiTheme="majorHAnsi" w:hAnsiTheme="majorHAnsi"/>
                <w:sz w:val="20"/>
                <w:szCs w:val="20"/>
              </w:rPr>
            </w:pPr>
          </w:p>
          <w:p w14:paraId="28F2E8BF"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Altro:</w:t>
            </w:r>
          </w:p>
          <w:p w14:paraId="09D7B9A9" w14:textId="77777777" w:rsidR="002C2F35" w:rsidRPr="007061E6" w:rsidRDefault="002C2F35" w:rsidP="00EC4408">
            <w:pPr>
              <w:numPr>
                <w:ilvl w:val="0"/>
                <w:numId w:val="13"/>
              </w:numPr>
              <w:pBdr>
                <w:top w:val="nil"/>
                <w:left w:val="nil"/>
                <w:bottom w:val="nil"/>
                <w:right w:val="nil"/>
                <w:between w:val="nil"/>
              </w:pBdr>
              <w:spacing w:line="240" w:lineRule="auto"/>
              <w:rPr>
                <w:rFonts w:asciiTheme="majorHAnsi" w:hAnsiTheme="majorHAnsi"/>
                <w:sz w:val="20"/>
                <w:szCs w:val="20"/>
              </w:rPr>
            </w:pPr>
            <w:r w:rsidRPr="007061E6">
              <w:rPr>
                <w:rFonts w:asciiTheme="majorHAnsi" w:hAnsiTheme="majorHAnsi"/>
                <w:sz w:val="20"/>
                <w:szCs w:val="20"/>
              </w:rPr>
              <w:t>Scheda componente attuale PNRR (29/12): M2C2.</w:t>
            </w:r>
          </w:p>
        </w:tc>
        <w:tc>
          <w:tcPr>
            <w:tcW w:w="1418" w:type="dxa"/>
          </w:tcPr>
          <w:p w14:paraId="33FA4CCE"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 xml:space="preserve">Legge di Bilancio 2017 </w:t>
            </w:r>
          </w:p>
          <w:p w14:paraId="24614E75"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440BAD41"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0F026CC9"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Riforma Contratti di Sviluppo</w:t>
            </w:r>
          </w:p>
          <w:p w14:paraId="6B140A26"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 xml:space="preserve"> (DM 9/dicembre/2014)</w:t>
            </w:r>
          </w:p>
          <w:p w14:paraId="7AD6374E"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tc>
        <w:tc>
          <w:tcPr>
            <w:tcW w:w="1417" w:type="dxa"/>
          </w:tcPr>
          <w:p w14:paraId="0714B3EF"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40479065"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0,10</w:t>
            </w:r>
          </w:p>
        </w:tc>
      </w:tr>
      <w:tr w:rsidR="002C2F35" w:rsidRPr="007061E6" w14:paraId="628C9505" w14:textId="77777777" w:rsidTr="00886514">
        <w:trPr>
          <w:trHeight w:val="70"/>
        </w:trPr>
        <w:tc>
          <w:tcPr>
            <w:tcW w:w="6379" w:type="dxa"/>
          </w:tcPr>
          <w:p w14:paraId="59FFE5E5"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O.4</w:t>
            </w:r>
          </w:p>
          <w:p w14:paraId="492369E4" w14:textId="77777777" w:rsidR="002C2F35" w:rsidRPr="007061E6" w:rsidRDefault="002C2F35" w:rsidP="004C0100">
            <w:pPr>
              <w:pBdr>
                <w:top w:val="nil"/>
                <w:left w:val="nil"/>
                <w:bottom w:val="nil"/>
                <w:right w:val="nil"/>
                <w:between w:val="nil"/>
              </w:pBdr>
              <w:rPr>
                <w:rFonts w:asciiTheme="majorHAnsi" w:hAnsiTheme="majorHAnsi"/>
                <w:b/>
                <w:i/>
                <w:sz w:val="20"/>
                <w:szCs w:val="20"/>
                <w:u w:val="single"/>
              </w:rPr>
            </w:pPr>
            <w:r w:rsidRPr="007061E6">
              <w:rPr>
                <w:rFonts w:asciiTheme="majorHAnsi" w:hAnsiTheme="majorHAnsi"/>
                <w:b/>
                <w:i/>
                <w:sz w:val="20"/>
                <w:szCs w:val="20"/>
                <w:u w:val="single"/>
              </w:rPr>
              <w:t>Formazione universitaria - Potenziamento dei Dottorati industriali</w:t>
            </w:r>
          </w:p>
          <w:p w14:paraId="6EA238A6"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 xml:space="preserve">Caratteristiche misura: </w:t>
            </w:r>
          </w:p>
          <w:p w14:paraId="60643CED" w14:textId="77777777" w:rsidR="002C2F35" w:rsidRPr="007061E6" w:rsidRDefault="002C2F35" w:rsidP="00EC4408">
            <w:pPr>
              <w:numPr>
                <w:ilvl w:val="0"/>
                <w:numId w:val="39"/>
              </w:numPr>
              <w:pBdr>
                <w:top w:val="nil"/>
                <w:left w:val="nil"/>
                <w:bottom w:val="nil"/>
                <w:right w:val="nil"/>
                <w:between w:val="nil"/>
              </w:pBdr>
              <w:spacing w:line="240" w:lineRule="auto"/>
              <w:jc w:val="both"/>
              <w:rPr>
                <w:rFonts w:asciiTheme="majorHAnsi" w:hAnsiTheme="majorHAnsi"/>
                <w:b/>
                <w:sz w:val="20"/>
                <w:szCs w:val="20"/>
              </w:rPr>
            </w:pPr>
            <w:r w:rsidRPr="007061E6">
              <w:rPr>
                <w:rFonts w:asciiTheme="majorHAnsi" w:hAnsiTheme="majorHAnsi"/>
                <w:sz w:val="20"/>
                <w:szCs w:val="20"/>
              </w:rPr>
              <w:t>Potenziamento dei Dottorati industriali</w:t>
            </w:r>
            <w:r w:rsidRPr="007061E6">
              <w:rPr>
                <w:rFonts w:asciiTheme="majorHAnsi" w:hAnsiTheme="majorHAnsi"/>
                <w:b/>
                <w:sz w:val="20"/>
                <w:szCs w:val="20"/>
              </w:rPr>
              <w:t xml:space="preserve"> </w:t>
            </w:r>
            <w:r w:rsidRPr="007061E6">
              <w:rPr>
                <w:rFonts w:asciiTheme="majorHAnsi" w:hAnsiTheme="majorHAnsi"/>
                <w:sz w:val="20"/>
                <w:szCs w:val="20"/>
              </w:rPr>
              <w:t>per l’inserimento di figure altamente specializzate nelle imprese del settore automotive con un focus particolare sulla mobilità elettrica e digitalizzazione della mobilità (3 cicli) ed estensione dello sgravio fiscale per l’assunzione a fine ciclo fino a un massimo di 8000 euro ciascuno;</w:t>
            </w:r>
          </w:p>
          <w:p w14:paraId="00823D6C" w14:textId="77777777" w:rsidR="002C2F35" w:rsidRPr="007061E6" w:rsidRDefault="002C2F35" w:rsidP="00EC4408">
            <w:pPr>
              <w:numPr>
                <w:ilvl w:val="0"/>
                <w:numId w:val="39"/>
              </w:numPr>
              <w:pBdr>
                <w:top w:val="nil"/>
                <w:left w:val="nil"/>
                <w:bottom w:val="nil"/>
                <w:right w:val="nil"/>
                <w:between w:val="nil"/>
              </w:pBdr>
              <w:spacing w:line="240" w:lineRule="auto"/>
              <w:rPr>
                <w:rFonts w:asciiTheme="majorHAnsi" w:hAnsiTheme="majorHAnsi"/>
                <w:b/>
                <w:sz w:val="20"/>
                <w:szCs w:val="20"/>
              </w:rPr>
            </w:pPr>
            <w:r w:rsidRPr="007061E6">
              <w:rPr>
                <w:rFonts w:asciiTheme="majorHAnsi" w:hAnsiTheme="majorHAnsi"/>
                <w:sz w:val="20"/>
                <w:szCs w:val="20"/>
              </w:rPr>
              <w:t>Milestones: 2022 - avvio del I ciclo; 2023 - avvio del II ciclo; 2024 - avvio del III ciclo, conclusione del I ciclo; 2025 - conclusione del II ciclo; 2026 - conclusione del III ciclo.</w:t>
            </w:r>
          </w:p>
          <w:p w14:paraId="1F7B0C3D" w14:textId="77777777" w:rsidR="002C2F35" w:rsidRPr="007061E6" w:rsidRDefault="002C2F35" w:rsidP="004C0100">
            <w:pPr>
              <w:pBdr>
                <w:top w:val="nil"/>
                <w:left w:val="nil"/>
                <w:bottom w:val="nil"/>
                <w:right w:val="nil"/>
                <w:between w:val="nil"/>
              </w:pBdr>
              <w:ind w:left="720"/>
              <w:rPr>
                <w:rFonts w:asciiTheme="majorHAnsi" w:hAnsiTheme="majorHAnsi"/>
                <w:b/>
                <w:sz w:val="20"/>
                <w:szCs w:val="20"/>
              </w:rPr>
            </w:pPr>
          </w:p>
          <w:p w14:paraId="4E9135E2"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Risultati attesi alla fine dell’arco temporale:</w:t>
            </w:r>
          </w:p>
          <w:p w14:paraId="33CD0D82" w14:textId="77777777" w:rsidR="002C2F35" w:rsidRPr="007061E6" w:rsidRDefault="002C2F35" w:rsidP="00EC4408">
            <w:pPr>
              <w:pStyle w:val="Paragrafoelenco"/>
              <w:numPr>
                <w:ilvl w:val="0"/>
                <w:numId w:val="42"/>
              </w:numPr>
              <w:pBdr>
                <w:top w:val="nil"/>
                <w:left w:val="nil"/>
                <w:bottom w:val="nil"/>
                <w:right w:val="nil"/>
                <w:between w:val="nil"/>
              </w:pBdr>
              <w:spacing w:after="0" w:line="240" w:lineRule="auto"/>
              <w:rPr>
                <w:rFonts w:asciiTheme="majorHAnsi" w:hAnsiTheme="majorHAnsi"/>
                <w:sz w:val="20"/>
                <w:szCs w:val="20"/>
              </w:rPr>
            </w:pPr>
            <w:r w:rsidRPr="007061E6">
              <w:rPr>
                <w:rFonts w:asciiTheme="majorHAnsi" w:eastAsia="Arial" w:hAnsiTheme="majorHAnsi" w:cs="Arial"/>
                <w:sz w:val="20"/>
                <w:szCs w:val="20"/>
              </w:rPr>
              <w:t>1050 dottorati industriali.</w:t>
            </w:r>
          </w:p>
          <w:p w14:paraId="5C8C13AF"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Altro:</w:t>
            </w:r>
          </w:p>
          <w:p w14:paraId="04DC0A27" w14:textId="77777777" w:rsidR="002C2F35" w:rsidRPr="007061E6" w:rsidRDefault="002C2F35" w:rsidP="00EC4408">
            <w:pPr>
              <w:numPr>
                <w:ilvl w:val="0"/>
                <w:numId w:val="13"/>
              </w:numPr>
              <w:spacing w:line="240" w:lineRule="auto"/>
              <w:rPr>
                <w:rFonts w:asciiTheme="majorHAnsi" w:hAnsiTheme="majorHAnsi"/>
                <w:sz w:val="20"/>
                <w:szCs w:val="20"/>
              </w:rPr>
            </w:pPr>
            <w:r w:rsidRPr="007061E6">
              <w:rPr>
                <w:rFonts w:asciiTheme="majorHAnsi" w:hAnsiTheme="majorHAnsi"/>
                <w:sz w:val="20"/>
                <w:szCs w:val="20"/>
              </w:rPr>
              <w:t>Scheda componente attuale PNRR (29/12): M4C2</w:t>
            </w:r>
          </w:p>
        </w:tc>
        <w:tc>
          <w:tcPr>
            <w:tcW w:w="1418" w:type="dxa"/>
          </w:tcPr>
          <w:p w14:paraId="087E2B06"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Legge di Bilancio 2020 (Legge n. 160/2019)</w:t>
            </w:r>
          </w:p>
          <w:p w14:paraId="6B454923"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5C13BA40"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7BDD10DF"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p w14:paraId="6ADD433B"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tc>
        <w:tc>
          <w:tcPr>
            <w:tcW w:w="1417" w:type="dxa"/>
          </w:tcPr>
          <w:p w14:paraId="456910F7"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6ABCA82C"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0,11</w:t>
            </w:r>
          </w:p>
        </w:tc>
      </w:tr>
      <w:tr w:rsidR="002C2F35" w:rsidRPr="007061E6" w14:paraId="16A8B93C" w14:textId="77777777" w:rsidTr="00BF6183">
        <w:trPr>
          <w:trHeight w:val="2815"/>
        </w:trPr>
        <w:tc>
          <w:tcPr>
            <w:tcW w:w="6379" w:type="dxa"/>
          </w:tcPr>
          <w:p w14:paraId="463DD661" w14:textId="77777777" w:rsidR="002C2F35" w:rsidRPr="007061E6" w:rsidRDefault="002C2F35" w:rsidP="004C0100">
            <w:pPr>
              <w:rPr>
                <w:rFonts w:asciiTheme="majorHAnsi" w:hAnsiTheme="majorHAnsi"/>
                <w:b/>
                <w:i/>
                <w:sz w:val="20"/>
                <w:szCs w:val="20"/>
                <w:u w:val="single"/>
              </w:rPr>
            </w:pPr>
            <w:r w:rsidRPr="007061E6">
              <w:rPr>
                <w:rFonts w:asciiTheme="majorHAnsi" w:hAnsiTheme="majorHAnsi"/>
                <w:b/>
                <w:i/>
                <w:sz w:val="30"/>
                <w:szCs w:val="30"/>
              </w:rPr>
              <w:lastRenderedPageBreak/>
              <w:t>O.5</w:t>
            </w:r>
          </w:p>
          <w:p w14:paraId="4D5620DA" w14:textId="77777777" w:rsidR="002C2F35" w:rsidRPr="007061E6" w:rsidRDefault="002C2F35" w:rsidP="004C0100">
            <w:pPr>
              <w:rPr>
                <w:rFonts w:asciiTheme="majorHAnsi" w:hAnsiTheme="majorHAnsi"/>
                <w:b/>
                <w:sz w:val="20"/>
                <w:szCs w:val="20"/>
              </w:rPr>
            </w:pPr>
            <w:r w:rsidRPr="007061E6">
              <w:rPr>
                <w:rFonts w:asciiTheme="majorHAnsi" w:hAnsiTheme="majorHAnsi"/>
                <w:b/>
                <w:i/>
                <w:sz w:val="20"/>
                <w:szCs w:val="20"/>
                <w:u w:val="single"/>
              </w:rPr>
              <w:t>Politiche attive per l’occupazione - Proroga Fondo Nuove Competenze</w:t>
            </w:r>
          </w:p>
          <w:p w14:paraId="7C372E52"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 xml:space="preserve">Caratteristiche misura: </w:t>
            </w:r>
          </w:p>
          <w:p w14:paraId="6BF90BE7" w14:textId="77777777" w:rsidR="002C2F35" w:rsidRPr="007061E6" w:rsidRDefault="002C2F35" w:rsidP="00EC4408">
            <w:pPr>
              <w:pStyle w:val="Paragrafoelenco"/>
              <w:numPr>
                <w:ilvl w:val="0"/>
                <w:numId w:val="42"/>
              </w:numPr>
              <w:spacing w:after="0" w:line="240" w:lineRule="auto"/>
              <w:jc w:val="both"/>
              <w:rPr>
                <w:rFonts w:asciiTheme="majorHAnsi" w:hAnsiTheme="majorHAnsi"/>
                <w:sz w:val="20"/>
                <w:szCs w:val="20"/>
              </w:rPr>
            </w:pPr>
            <w:r w:rsidRPr="007061E6">
              <w:rPr>
                <w:rFonts w:asciiTheme="majorHAnsi" w:hAnsiTheme="majorHAnsi"/>
                <w:sz w:val="20"/>
                <w:szCs w:val="20"/>
              </w:rPr>
              <w:t xml:space="preserve">Proroga del Fondo Nuove Competenze previsto fino al 2021 dal 2022 al 2026 per l’aggiornamento delle competenze nel settore automotive (focalizzato su transizione elettrica e digitalizzazione) e contrasto alla disoccupazione.  </w:t>
            </w:r>
          </w:p>
          <w:p w14:paraId="4C4A9088"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Altro:</w:t>
            </w:r>
          </w:p>
          <w:p w14:paraId="639795BC" w14:textId="77777777" w:rsidR="002C2F35" w:rsidRPr="007061E6" w:rsidRDefault="002C2F35" w:rsidP="00EC4408">
            <w:pPr>
              <w:numPr>
                <w:ilvl w:val="0"/>
                <w:numId w:val="13"/>
              </w:numPr>
              <w:spacing w:line="240" w:lineRule="auto"/>
              <w:rPr>
                <w:rFonts w:asciiTheme="majorHAnsi" w:hAnsiTheme="majorHAnsi"/>
                <w:sz w:val="20"/>
                <w:szCs w:val="20"/>
              </w:rPr>
            </w:pPr>
            <w:r w:rsidRPr="007061E6">
              <w:rPr>
                <w:rFonts w:asciiTheme="majorHAnsi" w:hAnsiTheme="majorHAnsi"/>
                <w:sz w:val="20"/>
                <w:szCs w:val="20"/>
              </w:rPr>
              <w:t>Scheda componente attuale PNRR (29/12): M5C2.</w:t>
            </w:r>
          </w:p>
        </w:tc>
        <w:tc>
          <w:tcPr>
            <w:tcW w:w="1418" w:type="dxa"/>
          </w:tcPr>
          <w:p w14:paraId="49582F74" w14:textId="77777777" w:rsidR="002C2F35" w:rsidRPr="007061E6" w:rsidRDefault="002C2F35" w:rsidP="004C0100">
            <w:pPr>
              <w:pBdr>
                <w:top w:val="nil"/>
                <w:left w:val="nil"/>
                <w:bottom w:val="nil"/>
                <w:right w:val="nil"/>
                <w:between w:val="nil"/>
              </w:pBdr>
              <w:jc w:val="both"/>
              <w:rPr>
                <w:rFonts w:asciiTheme="majorHAnsi" w:hAnsiTheme="majorHAnsi"/>
                <w:b/>
                <w:i/>
                <w:sz w:val="20"/>
                <w:szCs w:val="20"/>
              </w:rPr>
            </w:pPr>
            <w:r w:rsidRPr="007061E6">
              <w:rPr>
                <w:rFonts w:asciiTheme="majorHAnsi" w:hAnsiTheme="majorHAnsi"/>
                <w:b/>
                <w:i/>
                <w:sz w:val="20"/>
                <w:szCs w:val="20"/>
              </w:rPr>
              <w:t xml:space="preserve">DL “Rilancio” (art. 88 del </w:t>
            </w:r>
            <w:r w:rsidR="008434F7" w:rsidRPr="007061E6">
              <w:rPr>
                <w:rFonts w:asciiTheme="majorHAnsi" w:hAnsiTheme="majorHAnsi"/>
                <w:b/>
                <w:i/>
                <w:sz w:val="20"/>
                <w:szCs w:val="20"/>
              </w:rPr>
              <w:t>decreto-legge</w:t>
            </w:r>
            <w:r w:rsidRPr="007061E6">
              <w:rPr>
                <w:rFonts w:asciiTheme="majorHAnsi" w:hAnsiTheme="majorHAnsi"/>
                <w:b/>
                <w:i/>
                <w:sz w:val="20"/>
                <w:szCs w:val="20"/>
              </w:rPr>
              <w:t xml:space="preserve"> 19 maggio 2020, n. 34, modificato dall’art. 4 del decreto legge 14 agosto 2020, n. 104)</w:t>
            </w:r>
          </w:p>
          <w:p w14:paraId="57214D08"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p>
        </w:tc>
        <w:tc>
          <w:tcPr>
            <w:tcW w:w="1417" w:type="dxa"/>
          </w:tcPr>
          <w:p w14:paraId="33950838"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77691DCA"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0,30</w:t>
            </w:r>
          </w:p>
        </w:tc>
      </w:tr>
      <w:tr w:rsidR="002C2F35" w:rsidRPr="007061E6" w14:paraId="6FBBC47E" w14:textId="77777777" w:rsidTr="00BF6183">
        <w:trPr>
          <w:trHeight w:val="6219"/>
        </w:trPr>
        <w:tc>
          <w:tcPr>
            <w:tcW w:w="6379" w:type="dxa"/>
          </w:tcPr>
          <w:p w14:paraId="61D6E72C"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O.6</w:t>
            </w:r>
          </w:p>
          <w:p w14:paraId="0C6F5B8E" w14:textId="77777777" w:rsidR="002C2F35" w:rsidRPr="007061E6" w:rsidRDefault="002C2F35" w:rsidP="004C0100">
            <w:pPr>
              <w:jc w:val="both"/>
              <w:rPr>
                <w:rFonts w:asciiTheme="majorHAnsi" w:hAnsiTheme="majorHAnsi"/>
                <w:b/>
                <w:sz w:val="20"/>
                <w:szCs w:val="20"/>
              </w:rPr>
            </w:pPr>
            <w:r w:rsidRPr="007061E6">
              <w:rPr>
                <w:rFonts w:asciiTheme="majorHAnsi" w:hAnsiTheme="majorHAnsi"/>
                <w:b/>
                <w:i/>
                <w:sz w:val="20"/>
                <w:szCs w:val="20"/>
                <w:u w:val="single"/>
              </w:rPr>
              <w:t>Formazione ITS - istituzione di nuovi percorsi professionalizzanti sulla mobilità elettrica e digitalizzazione della mobilità</w:t>
            </w:r>
          </w:p>
          <w:p w14:paraId="2717FE86"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Caratteristiche misura:</w:t>
            </w:r>
          </w:p>
          <w:p w14:paraId="5E8C2D66" w14:textId="77777777" w:rsidR="002C2F35" w:rsidRPr="007061E6" w:rsidRDefault="002C2F35" w:rsidP="00EC4408">
            <w:pPr>
              <w:pStyle w:val="Paragrafoelenco"/>
              <w:numPr>
                <w:ilvl w:val="0"/>
                <w:numId w:val="42"/>
              </w:numPr>
              <w:spacing w:after="0" w:line="240" w:lineRule="auto"/>
              <w:jc w:val="both"/>
              <w:rPr>
                <w:rFonts w:asciiTheme="majorHAnsi" w:hAnsiTheme="majorHAnsi" w:cs="Arial"/>
                <w:sz w:val="20"/>
                <w:szCs w:val="20"/>
              </w:rPr>
            </w:pPr>
            <w:r w:rsidRPr="007061E6">
              <w:rPr>
                <w:rFonts w:asciiTheme="majorHAnsi" w:hAnsiTheme="majorHAnsi" w:cs="Arial"/>
                <w:sz w:val="20"/>
                <w:szCs w:val="20"/>
              </w:rPr>
              <w:t>Rafforzare le dotazioni strumentali e logistiche e incrementare la partecipazione delle imprese nei processi di formazione ITS per una migliore connessione con il tessuto imprenditoriale, istituendo nuovi percorsi professionalizzanti sulla mobilità elettrica e digitalizzazione della mobilità.</w:t>
            </w:r>
          </w:p>
          <w:p w14:paraId="42B69046" w14:textId="77777777" w:rsidR="002C2F35" w:rsidRPr="00BF6183" w:rsidRDefault="002C2F35" w:rsidP="004C0100">
            <w:pPr>
              <w:rPr>
                <w:rFonts w:asciiTheme="majorHAnsi" w:hAnsiTheme="majorHAnsi"/>
                <w:sz w:val="4"/>
                <w:szCs w:val="4"/>
              </w:rPr>
            </w:pPr>
          </w:p>
          <w:p w14:paraId="70C9AEAF"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 xml:space="preserve">Milestones: </w:t>
            </w:r>
          </w:p>
          <w:p w14:paraId="043F66F0" w14:textId="77777777" w:rsidR="002C2F35" w:rsidRPr="007061E6" w:rsidRDefault="002C2F35" w:rsidP="00EC4408">
            <w:pPr>
              <w:pStyle w:val="Paragrafoelenco"/>
              <w:numPr>
                <w:ilvl w:val="0"/>
                <w:numId w:val="42"/>
              </w:numPr>
              <w:spacing w:after="0" w:line="240" w:lineRule="auto"/>
              <w:jc w:val="both"/>
              <w:rPr>
                <w:rFonts w:asciiTheme="majorHAnsi" w:hAnsiTheme="majorHAnsi" w:cs="Arial"/>
                <w:sz w:val="20"/>
                <w:szCs w:val="20"/>
              </w:rPr>
            </w:pPr>
            <w:r w:rsidRPr="007061E6">
              <w:rPr>
                <w:rFonts w:asciiTheme="majorHAnsi" w:hAnsiTheme="majorHAnsi" w:cs="Arial"/>
                <w:sz w:val="20"/>
                <w:szCs w:val="20"/>
              </w:rPr>
              <w:t>I sem 2022: Sperimentazione nuovi percorsi professionalizzanti;</w:t>
            </w:r>
          </w:p>
          <w:p w14:paraId="0F5CC64E" w14:textId="77777777" w:rsidR="002C2F35" w:rsidRPr="007061E6" w:rsidRDefault="002C2F35" w:rsidP="00EC4408">
            <w:pPr>
              <w:pStyle w:val="Paragrafoelenco"/>
              <w:numPr>
                <w:ilvl w:val="0"/>
                <w:numId w:val="42"/>
              </w:numPr>
              <w:spacing w:after="0" w:line="240" w:lineRule="auto"/>
              <w:jc w:val="both"/>
              <w:rPr>
                <w:rFonts w:asciiTheme="majorHAnsi" w:hAnsiTheme="majorHAnsi" w:cs="Arial"/>
                <w:sz w:val="20"/>
                <w:szCs w:val="20"/>
              </w:rPr>
            </w:pPr>
            <w:r w:rsidRPr="007061E6">
              <w:rPr>
                <w:rFonts w:asciiTheme="majorHAnsi" w:hAnsiTheme="majorHAnsi" w:cs="Arial"/>
                <w:sz w:val="20"/>
                <w:szCs w:val="20"/>
              </w:rPr>
              <w:t>II sem 2023: Avvio attivazione nuovi ITS ed estensione dei percorsi professionalizzanti, analisi e monitoraggio iscritti;</w:t>
            </w:r>
          </w:p>
          <w:p w14:paraId="75304BE4" w14:textId="77777777" w:rsidR="002C2F35" w:rsidRPr="007061E6" w:rsidRDefault="002C2F35" w:rsidP="00EC4408">
            <w:pPr>
              <w:pStyle w:val="Paragrafoelenco"/>
              <w:numPr>
                <w:ilvl w:val="0"/>
                <w:numId w:val="42"/>
              </w:numPr>
              <w:spacing w:after="0" w:line="240" w:lineRule="auto"/>
              <w:jc w:val="both"/>
              <w:rPr>
                <w:rFonts w:asciiTheme="majorHAnsi" w:hAnsiTheme="majorHAnsi" w:cs="Arial"/>
                <w:sz w:val="20"/>
                <w:szCs w:val="20"/>
              </w:rPr>
            </w:pPr>
            <w:r w:rsidRPr="007061E6">
              <w:rPr>
                <w:rFonts w:asciiTheme="majorHAnsi" w:hAnsiTheme="majorHAnsi" w:cs="Arial"/>
                <w:sz w:val="20"/>
                <w:szCs w:val="20"/>
              </w:rPr>
              <w:t>II sem 2025: Attivazione di nuovi ITS ed estensione dei percorsi professionalizzanti. Analisi e monitoraggio delle reti di ITS e ottimizzazione dei percorsi professionalizzanti sulla base delle specificità territoriali e dei dati nazionali.</w:t>
            </w:r>
          </w:p>
          <w:p w14:paraId="58DC5473" w14:textId="77777777" w:rsidR="002C2F35" w:rsidRPr="007061E6" w:rsidRDefault="002C2F35" w:rsidP="00BF6183">
            <w:pPr>
              <w:rPr>
                <w:rFonts w:asciiTheme="majorHAnsi" w:hAnsiTheme="majorHAnsi"/>
                <w:sz w:val="20"/>
                <w:szCs w:val="20"/>
              </w:rPr>
            </w:pPr>
            <w:r w:rsidRPr="007061E6">
              <w:rPr>
                <w:rFonts w:asciiTheme="majorHAnsi" w:hAnsiTheme="majorHAnsi"/>
                <w:sz w:val="20"/>
                <w:szCs w:val="20"/>
              </w:rPr>
              <w:t>Risultati attesi:</w:t>
            </w:r>
          </w:p>
          <w:p w14:paraId="17A0ABE7" w14:textId="77777777" w:rsidR="002C2F35" w:rsidRPr="007061E6" w:rsidRDefault="002C2F35" w:rsidP="00EC4408">
            <w:pPr>
              <w:numPr>
                <w:ilvl w:val="0"/>
                <w:numId w:val="36"/>
              </w:numPr>
              <w:spacing w:line="240" w:lineRule="auto"/>
              <w:jc w:val="both"/>
              <w:rPr>
                <w:rFonts w:asciiTheme="majorHAnsi" w:hAnsiTheme="majorHAnsi"/>
                <w:sz w:val="20"/>
                <w:szCs w:val="20"/>
              </w:rPr>
            </w:pPr>
            <w:r w:rsidRPr="007061E6">
              <w:rPr>
                <w:rFonts w:asciiTheme="majorHAnsi" w:hAnsiTheme="majorHAnsi"/>
                <w:sz w:val="20"/>
                <w:szCs w:val="20"/>
              </w:rPr>
              <w:t>Avvio di almeno 107 percorsi ITS (1 per ciascuna provincia) entro il 2026;</w:t>
            </w:r>
          </w:p>
          <w:p w14:paraId="09EF7485" w14:textId="77777777" w:rsidR="002C2F35" w:rsidRPr="007061E6" w:rsidRDefault="002C2F35" w:rsidP="00EC4408">
            <w:pPr>
              <w:numPr>
                <w:ilvl w:val="0"/>
                <w:numId w:val="36"/>
              </w:numPr>
              <w:spacing w:line="240" w:lineRule="auto"/>
              <w:jc w:val="both"/>
              <w:rPr>
                <w:rFonts w:asciiTheme="majorHAnsi" w:hAnsiTheme="majorHAnsi"/>
                <w:sz w:val="20"/>
                <w:szCs w:val="20"/>
              </w:rPr>
            </w:pPr>
            <w:r w:rsidRPr="007061E6">
              <w:rPr>
                <w:rFonts w:asciiTheme="majorHAnsi" w:hAnsiTheme="majorHAnsi"/>
                <w:sz w:val="20"/>
                <w:szCs w:val="20"/>
              </w:rPr>
              <w:t>8200 diplomati al 2026.</w:t>
            </w:r>
          </w:p>
          <w:p w14:paraId="4255BD40" w14:textId="77777777" w:rsidR="002C2F35" w:rsidRPr="007061E6" w:rsidRDefault="002C2F35" w:rsidP="004C0100">
            <w:pPr>
              <w:rPr>
                <w:rFonts w:asciiTheme="majorHAnsi" w:hAnsiTheme="majorHAnsi"/>
                <w:sz w:val="20"/>
                <w:szCs w:val="20"/>
              </w:rPr>
            </w:pPr>
            <w:r w:rsidRPr="007061E6">
              <w:rPr>
                <w:rFonts w:asciiTheme="majorHAnsi" w:hAnsiTheme="majorHAnsi"/>
                <w:sz w:val="20"/>
                <w:szCs w:val="20"/>
              </w:rPr>
              <w:t>Altro:</w:t>
            </w:r>
          </w:p>
          <w:p w14:paraId="6E4A1D29" w14:textId="77777777" w:rsidR="002C2F35" w:rsidRPr="007061E6" w:rsidRDefault="002C2F35" w:rsidP="00EC4408">
            <w:pPr>
              <w:numPr>
                <w:ilvl w:val="0"/>
                <w:numId w:val="36"/>
              </w:numPr>
              <w:spacing w:line="240" w:lineRule="auto"/>
              <w:rPr>
                <w:rFonts w:asciiTheme="majorHAnsi" w:hAnsiTheme="majorHAnsi"/>
                <w:sz w:val="20"/>
                <w:szCs w:val="20"/>
              </w:rPr>
            </w:pPr>
            <w:r w:rsidRPr="007061E6">
              <w:rPr>
                <w:rFonts w:asciiTheme="majorHAnsi" w:hAnsiTheme="majorHAnsi"/>
                <w:sz w:val="20"/>
                <w:szCs w:val="20"/>
              </w:rPr>
              <w:t>Scheda componente attuale PNRR (29/12): M4C1.</w:t>
            </w:r>
          </w:p>
        </w:tc>
        <w:tc>
          <w:tcPr>
            <w:tcW w:w="1418" w:type="dxa"/>
          </w:tcPr>
          <w:p w14:paraId="2C4D90BA"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NA</w:t>
            </w:r>
          </w:p>
        </w:tc>
        <w:tc>
          <w:tcPr>
            <w:tcW w:w="1417" w:type="dxa"/>
          </w:tcPr>
          <w:p w14:paraId="36B5F987"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2022-2026</w:t>
            </w:r>
          </w:p>
        </w:tc>
        <w:tc>
          <w:tcPr>
            <w:tcW w:w="1134" w:type="dxa"/>
          </w:tcPr>
          <w:p w14:paraId="7E326E3B" w14:textId="77777777" w:rsidR="002C2F35" w:rsidRPr="007061E6" w:rsidRDefault="002C2F35" w:rsidP="004C0100">
            <w:pPr>
              <w:pBdr>
                <w:top w:val="nil"/>
                <w:left w:val="nil"/>
                <w:bottom w:val="nil"/>
                <w:right w:val="nil"/>
                <w:between w:val="nil"/>
              </w:pBdr>
              <w:jc w:val="center"/>
              <w:rPr>
                <w:rFonts w:asciiTheme="majorHAnsi" w:hAnsiTheme="majorHAnsi"/>
                <w:b/>
                <w:i/>
                <w:sz w:val="20"/>
                <w:szCs w:val="20"/>
              </w:rPr>
            </w:pPr>
            <w:r w:rsidRPr="007061E6">
              <w:rPr>
                <w:rFonts w:asciiTheme="majorHAnsi" w:hAnsiTheme="majorHAnsi"/>
                <w:b/>
                <w:i/>
                <w:sz w:val="20"/>
                <w:szCs w:val="20"/>
              </w:rPr>
              <w:t>0,08</w:t>
            </w:r>
          </w:p>
        </w:tc>
      </w:tr>
      <w:tr w:rsidR="002C2F35" w:rsidRPr="007061E6" w14:paraId="2619FFC6" w14:textId="77777777" w:rsidTr="00886514">
        <w:trPr>
          <w:trHeight w:val="277"/>
        </w:trPr>
        <w:tc>
          <w:tcPr>
            <w:tcW w:w="6379" w:type="dxa"/>
          </w:tcPr>
          <w:p w14:paraId="116E07BE" w14:textId="77777777" w:rsidR="002C2F35" w:rsidRPr="007061E6" w:rsidRDefault="002C2F35" w:rsidP="004C0100">
            <w:pPr>
              <w:pBdr>
                <w:top w:val="nil"/>
                <w:left w:val="nil"/>
                <w:bottom w:val="nil"/>
                <w:right w:val="nil"/>
                <w:between w:val="nil"/>
              </w:pBdr>
              <w:rPr>
                <w:rFonts w:asciiTheme="majorHAnsi" w:hAnsiTheme="majorHAnsi"/>
                <w:b/>
                <w:i/>
                <w:sz w:val="30"/>
                <w:szCs w:val="30"/>
              </w:rPr>
            </w:pPr>
            <w:r w:rsidRPr="007061E6">
              <w:rPr>
                <w:rFonts w:asciiTheme="majorHAnsi" w:hAnsiTheme="majorHAnsi"/>
                <w:b/>
                <w:i/>
                <w:sz w:val="30"/>
                <w:szCs w:val="30"/>
              </w:rPr>
              <w:t>O.7</w:t>
            </w:r>
          </w:p>
          <w:p w14:paraId="452BC224" w14:textId="77777777" w:rsidR="002C2F35" w:rsidRPr="007061E6" w:rsidRDefault="002C2F35" w:rsidP="004C0100">
            <w:pPr>
              <w:pBdr>
                <w:top w:val="nil"/>
                <w:left w:val="nil"/>
                <w:bottom w:val="nil"/>
                <w:right w:val="nil"/>
                <w:between w:val="nil"/>
              </w:pBdr>
              <w:rPr>
                <w:rFonts w:asciiTheme="majorHAnsi" w:hAnsiTheme="majorHAnsi"/>
                <w:b/>
                <w:i/>
                <w:sz w:val="20"/>
                <w:szCs w:val="20"/>
                <w:u w:val="single"/>
              </w:rPr>
            </w:pPr>
            <w:r w:rsidRPr="007061E6">
              <w:rPr>
                <w:rFonts w:asciiTheme="majorHAnsi" w:hAnsiTheme="majorHAnsi"/>
                <w:b/>
                <w:i/>
                <w:sz w:val="20"/>
                <w:szCs w:val="20"/>
                <w:u w:val="single"/>
              </w:rPr>
              <w:t>Start-</w:t>
            </w:r>
            <w:r w:rsidR="008434F7" w:rsidRPr="007061E6">
              <w:rPr>
                <w:rFonts w:asciiTheme="majorHAnsi" w:hAnsiTheme="majorHAnsi"/>
                <w:b/>
                <w:i/>
                <w:sz w:val="20"/>
                <w:szCs w:val="20"/>
                <w:u w:val="single"/>
              </w:rPr>
              <w:t>up -</w:t>
            </w:r>
            <w:r w:rsidRPr="007061E6">
              <w:rPr>
                <w:rFonts w:asciiTheme="majorHAnsi" w:hAnsiTheme="majorHAnsi"/>
                <w:b/>
                <w:i/>
                <w:sz w:val="20"/>
                <w:szCs w:val="20"/>
                <w:u w:val="single"/>
              </w:rPr>
              <w:t xml:space="preserve">  R&amp;D</w:t>
            </w:r>
          </w:p>
          <w:p w14:paraId="3AC3A8CF" w14:textId="77777777" w:rsidR="002C2F35" w:rsidRPr="007061E6" w:rsidRDefault="002C2F35" w:rsidP="004C0100">
            <w:pPr>
              <w:pBdr>
                <w:top w:val="nil"/>
                <w:left w:val="nil"/>
                <w:bottom w:val="nil"/>
                <w:right w:val="nil"/>
                <w:between w:val="nil"/>
              </w:pBdr>
              <w:rPr>
                <w:rFonts w:asciiTheme="majorHAnsi" w:hAnsiTheme="majorHAnsi"/>
                <w:sz w:val="20"/>
                <w:szCs w:val="20"/>
              </w:rPr>
            </w:pPr>
            <w:r w:rsidRPr="007061E6">
              <w:rPr>
                <w:rFonts w:asciiTheme="majorHAnsi" w:hAnsiTheme="majorHAnsi"/>
                <w:sz w:val="20"/>
                <w:szCs w:val="20"/>
              </w:rPr>
              <w:t>Caratteristica misura:</w:t>
            </w:r>
          </w:p>
          <w:p w14:paraId="7F2FDCD8" w14:textId="77777777" w:rsidR="002C2F35" w:rsidRPr="007061E6" w:rsidRDefault="002C2F35" w:rsidP="00EC4408">
            <w:pPr>
              <w:numPr>
                <w:ilvl w:val="0"/>
                <w:numId w:val="16"/>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Estensione dell’attuale Fondo Innovazione di CDP con la creazione di un nuovo fondo automotive per supportare 200 start-up e PMI innovative;</w:t>
            </w:r>
          </w:p>
          <w:p w14:paraId="6A384DE4" w14:textId="77777777" w:rsidR="002C2F35" w:rsidRPr="007061E6" w:rsidRDefault="002C2F35" w:rsidP="00EC4408">
            <w:pPr>
              <w:numPr>
                <w:ilvl w:val="0"/>
                <w:numId w:val="38"/>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Creazione di due consorzi R&amp;D su:</w:t>
            </w:r>
          </w:p>
          <w:p w14:paraId="0D1114C0" w14:textId="77777777" w:rsidR="002C2F35" w:rsidRPr="007061E6" w:rsidRDefault="002C2F35" w:rsidP="00EC4408">
            <w:pPr>
              <w:numPr>
                <w:ilvl w:val="0"/>
                <w:numId w:val="32"/>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Digitalizzazione (connessioni veicoli, guida autonoma, MaaS);</w:t>
            </w:r>
          </w:p>
          <w:p w14:paraId="6355B2F5" w14:textId="77777777" w:rsidR="002C2F35" w:rsidRPr="007061E6" w:rsidRDefault="002C2F35" w:rsidP="00EC4408">
            <w:pPr>
              <w:numPr>
                <w:ilvl w:val="0"/>
                <w:numId w:val="32"/>
              </w:numPr>
              <w:pBdr>
                <w:top w:val="nil"/>
                <w:left w:val="nil"/>
                <w:bottom w:val="nil"/>
                <w:right w:val="nil"/>
                <w:between w:val="nil"/>
              </w:pBdr>
              <w:spacing w:line="240" w:lineRule="auto"/>
              <w:jc w:val="both"/>
              <w:rPr>
                <w:rFonts w:asciiTheme="majorHAnsi" w:hAnsiTheme="majorHAnsi"/>
                <w:sz w:val="20"/>
                <w:szCs w:val="20"/>
              </w:rPr>
            </w:pPr>
            <w:r w:rsidRPr="007061E6">
              <w:rPr>
                <w:rFonts w:asciiTheme="majorHAnsi" w:hAnsiTheme="majorHAnsi"/>
                <w:sz w:val="20"/>
                <w:szCs w:val="20"/>
              </w:rPr>
              <w:t>Batterie, riformare in profondità Italian Battery Alliance.</w:t>
            </w:r>
          </w:p>
        </w:tc>
        <w:tc>
          <w:tcPr>
            <w:tcW w:w="1418" w:type="dxa"/>
          </w:tcPr>
          <w:p w14:paraId="69BF5D75" w14:textId="77777777" w:rsidR="002C2F35" w:rsidRPr="007061E6" w:rsidRDefault="002C2F35" w:rsidP="004C0100">
            <w:pPr>
              <w:jc w:val="center"/>
              <w:rPr>
                <w:rFonts w:asciiTheme="majorHAnsi" w:hAnsiTheme="majorHAnsi"/>
                <w:b/>
                <w:sz w:val="20"/>
                <w:szCs w:val="20"/>
              </w:rPr>
            </w:pPr>
            <w:r w:rsidRPr="007061E6">
              <w:rPr>
                <w:rFonts w:asciiTheme="majorHAnsi" w:hAnsiTheme="majorHAnsi"/>
                <w:b/>
                <w:sz w:val="20"/>
                <w:szCs w:val="20"/>
              </w:rPr>
              <w:t>NA</w:t>
            </w:r>
          </w:p>
        </w:tc>
        <w:tc>
          <w:tcPr>
            <w:tcW w:w="1417" w:type="dxa"/>
          </w:tcPr>
          <w:p w14:paraId="6D714664"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2022 - 2026</w:t>
            </w:r>
          </w:p>
        </w:tc>
        <w:tc>
          <w:tcPr>
            <w:tcW w:w="1134" w:type="dxa"/>
          </w:tcPr>
          <w:p w14:paraId="2DA651F5" w14:textId="77777777" w:rsidR="002C2F35" w:rsidRPr="007061E6" w:rsidRDefault="002C2F35" w:rsidP="004C0100">
            <w:pPr>
              <w:jc w:val="center"/>
              <w:rPr>
                <w:rFonts w:asciiTheme="majorHAnsi" w:hAnsiTheme="majorHAnsi"/>
                <w:b/>
                <w:i/>
                <w:sz w:val="20"/>
                <w:szCs w:val="20"/>
              </w:rPr>
            </w:pPr>
            <w:r w:rsidRPr="007061E6">
              <w:rPr>
                <w:rFonts w:asciiTheme="majorHAnsi" w:hAnsiTheme="majorHAnsi"/>
                <w:b/>
                <w:i/>
                <w:sz w:val="20"/>
                <w:szCs w:val="20"/>
              </w:rPr>
              <w:t>0,80</w:t>
            </w:r>
          </w:p>
          <w:p w14:paraId="60A2DF92" w14:textId="77777777" w:rsidR="002C2F35" w:rsidRPr="007061E6" w:rsidRDefault="002C2F35" w:rsidP="004C0100">
            <w:pPr>
              <w:jc w:val="center"/>
              <w:rPr>
                <w:rFonts w:asciiTheme="majorHAnsi" w:hAnsiTheme="majorHAnsi"/>
                <w:b/>
                <w:i/>
                <w:sz w:val="20"/>
                <w:szCs w:val="20"/>
              </w:rPr>
            </w:pPr>
          </w:p>
          <w:p w14:paraId="6367CD63" w14:textId="77777777" w:rsidR="002C2F35" w:rsidRPr="007061E6" w:rsidRDefault="002C2F35" w:rsidP="004C0100">
            <w:pPr>
              <w:jc w:val="center"/>
              <w:rPr>
                <w:rFonts w:asciiTheme="majorHAnsi" w:hAnsiTheme="majorHAnsi"/>
                <w:b/>
                <w:i/>
                <w:sz w:val="20"/>
                <w:szCs w:val="20"/>
              </w:rPr>
            </w:pPr>
          </w:p>
          <w:p w14:paraId="203F37A4" w14:textId="77777777" w:rsidR="002C2F35" w:rsidRPr="007061E6" w:rsidRDefault="002C2F35" w:rsidP="004C0100">
            <w:pPr>
              <w:jc w:val="center"/>
              <w:rPr>
                <w:rFonts w:asciiTheme="majorHAnsi" w:hAnsiTheme="majorHAnsi"/>
                <w:b/>
                <w:i/>
                <w:sz w:val="20"/>
                <w:szCs w:val="20"/>
              </w:rPr>
            </w:pPr>
          </w:p>
          <w:p w14:paraId="34465EE7" w14:textId="77777777" w:rsidR="002C2F35" w:rsidRPr="007061E6" w:rsidRDefault="002C2F35" w:rsidP="004C0100">
            <w:pPr>
              <w:jc w:val="center"/>
              <w:rPr>
                <w:rFonts w:asciiTheme="majorHAnsi" w:hAnsiTheme="majorHAnsi"/>
                <w:b/>
                <w:i/>
                <w:sz w:val="20"/>
                <w:szCs w:val="20"/>
              </w:rPr>
            </w:pPr>
          </w:p>
          <w:p w14:paraId="0AB392F9" w14:textId="77777777" w:rsidR="002C2F35" w:rsidRPr="007061E6" w:rsidRDefault="002C2F35" w:rsidP="004C0100">
            <w:pPr>
              <w:jc w:val="center"/>
              <w:rPr>
                <w:rFonts w:asciiTheme="majorHAnsi" w:hAnsiTheme="majorHAnsi"/>
                <w:b/>
                <w:i/>
                <w:sz w:val="20"/>
                <w:szCs w:val="20"/>
              </w:rPr>
            </w:pPr>
          </w:p>
        </w:tc>
      </w:tr>
      <w:tr w:rsidR="002C2F35" w:rsidRPr="007061E6" w14:paraId="79A8F9F2" w14:textId="77777777" w:rsidTr="00886514">
        <w:trPr>
          <w:trHeight w:val="480"/>
        </w:trPr>
        <w:tc>
          <w:tcPr>
            <w:tcW w:w="6379" w:type="dxa"/>
          </w:tcPr>
          <w:p w14:paraId="4E7613F0" w14:textId="77777777" w:rsidR="002C2F35" w:rsidRPr="007061E6" w:rsidRDefault="002C2F35" w:rsidP="004C0100">
            <w:pPr>
              <w:pBdr>
                <w:top w:val="nil"/>
                <w:left w:val="nil"/>
                <w:bottom w:val="nil"/>
                <w:right w:val="nil"/>
                <w:between w:val="nil"/>
              </w:pBdr>
              <w:rPr>
                <w:rFonts w:asciiTheme="majorHAnsi" w:hAnsiTheme="majorHAnsi"/>
                <w:b/>
                <w:i/>
                <w:sz w:val="30"/>
                <w:szCs w:val="30"/>
              </w:rPr>
            </w:pPr>
          </w:p>
        </w:tc>
        <w:tc>
          <w:tcPr>
            <w:tcW w:w="1418" w:type="dxa"/>
          </w:tcPr>
          <w:p w14:paraId="22E7C331" w14:textId="77777777" w:rsidR="002C2F35" w:rsidRPr="007061E6" w:rsidRDefault="002C2F35" w:rsidP="004C0100">
            <w:pPr>
              <w:jc w:val="center"/>
              <w:rPr>
                <w:rFonts w:asciiTheme="majorHAnsi" w:hAnsiTheme="majorHAnsi"/>
                <w:b/>
                <w:i/>
                <w:sz w:val="20"/>
                <w:szCs w:val="20"/>
              </w:rPr>
            </w:pPr>
          </w:p>
        </w:tc>
        <w:tc>
          <w:tcPr>
            <w:tcW w:w="1417" w:type="dxa"/>
          </w:tcPr>
          <w:p w14:paraId="303802F2" w14:textId="77777777" w:rsidR="002C2F35" w:rsidRPr="007061E6" w:rsidRDefault="002C2F35" w:rsidP="004C0100">
            <w:pPr>
              <w:jc w:val="center"/>
              <w:rPr>
                <w:rFonts w:asciiTheme="majorHAnsi" w:hAnsiTheme="majorHAnsi"/>
                <w:b/>
                <w:i/>
                <w:sz w:val="28"/>
                <w:szCs w:val="28"/>
              </w:rPr>
            </w:pPr>
            <w:r w:rsidRPr="007061E6">
              <w:rPr>
                <w:rFonts w:asciiTheme="majorHAnsi" w:hAnsiTheme="majorHAnsi"/>
                <w:b/>
                <w:i/>
                <w:sz w:val="28"/>
                <w:szCs w:val="28"/>
              </w:rPr>
              <w:t>TOTALE</w:t>
            </w:r>
          </w:p>
        </w:tc>
        <w:tc>
          <w:tcPr>
            <w:tcW w:w="1134" w:type="dxa"/>
          </w:tcPr>
          <w:p w14:paraId="6FD5D713" w14:textId="77777777" w:rsidR="002C2F35" w:rsidRPr="007061E6" w:rsidRDefault="002C2F35" w:rsidP="004C0100">
            <w:pPr>
              <w:jc w:val="center"/>
              <w:rPr>
                <w:rFonts w:asciiTheme="majorHAnsi" w:hAnsiTheme="majorHAnsi"/>
                <w:b/>
                <w:i/>
                <w:sz w:val="28"/>
                <w:szCs w:val="28"/>
              </w:rPr>
            </w:pPr>
            <w:r w:rsidRPr="007061E6">
              <w:rPr>
                <w:rFonts w:asciiTheme="majorHAnsi" w:hAnsiTheme="majorHAnsi"/>
                <w:b/>
                <w:i/>
                <w:sz w:val="28"/>
                <w:szCs w:val="28"/>
              </w:rPr>
              <w:t>4,51</w:t>
            </w:r>
          </w:p>
        </w:tc>
      </w:tr>
    </w:tbl>
    <w:p w14:paraId="6289B777" w14:textId="77777777" w:rsidR="00886514" w:rsidRDefault="00886514">
      <w:pPr>
        <w:rPr>
          <w:rFonts w:asciiTheme="majorHAnsi" w:hAnsiTheme="majorHAnsi"/>
          <w:b/>
          <w:sz w:val="32"/>
          <w:szCs w:val="32"/>
        </w:rPr>
      </w:pPr>
    </w:p>
    <w:p w14:paraId="5850487D" w14:textId="77777777" w:rsidR="009A4F8F" w:rsidRPr="007061E6" w:rsidRDefault="00145450">
      <w:pPr>
        <w:rPr>
          <w:rFonts w:asciiTheme="majorHAnsi" w:hAnsiTheme="majorHAnsi"/>
          <w:b/>
          <w:sz w:val="32"/>
          <w:szCs w:val="32"/>
        </w:rPr>
      </w:pPr>
      <w:r w:rsidRPr="007061E6">
        <w:rPr>
          <w:rFonts w:asciiTheme="majorHAnsi" w:hAnsiTheme="majorHAnsi"/>
          <w:b/>
          <w:sz w:val="32"/>
          <w:szCs w:val="32"/>
        </w:rPr>
        <w:t>Chi è MOTUS-E</w:t>
      </w:r>
    </w:p>
    <w:p w14:paraId="1AF9D1B5" w14:textId="77777777" w:rsidR="009A4F8F" w:rsidRPr="007061E6" w:rsidRDefault="00614CD8">
      <w:pPr>
        <w:spacing w:line="240" w:lineRule="auto"/>
        <w:jc w:val="both"/>
        <w:rPr>
          <w:rFonts w:asciiTheme="majorHAnsi" w:hAnsiTheme="majorHAnsi"/>
        </w:rPr>
      </w:pPr>
      <w:r w:rsidRPr="007061E6">
        <w:rPr>
          <w:rFonts w:asciiTheme="majorHAnsi" w:hAnsiTheme="majorHAnsi"/>
        </w:rPr>
        <w:t>MOTUS-E è la prima associazione italiana costituita su impulso dei principali operatori industriali, del mondo accademico e dell’associazionismo ambientale e d’opinione per favorire la transizione del settore nazionale dei trasporti verso l’adozione massiva di mezzi sostenibili, promuovendo la mobilità elettrica e divulgandone i benefici connessi alla tutela ambientale.</w:t>
      </w:r>
    </w:p>
    <w:p w14:paraId="7CEECE9D" w14:textId="77777777" w:rsidR="009A4F8F" w:rsidRPr="007061E6" w:rsidRDefault="00614CD8">
      <w:pPr>
        <w:spacing w:line="240" w:lineRule="auto"/>
        <w:jc w:val="both"/>
        <w:rPr>
          <w:rFonts w:asciiTheme="majorHAnsi" w:hAnsiTheme="majorHAnsi"/>
        </w:rPr>
      </w:pPr>
      <w:r w:rsidRPr="007061E6">
        <w:rPr>
          <w:rFonts w:asciiTheme="majorHAnsi" w:hAnsiTheme="majorHAnsi"/>
        </w:rPr>
        <w:t>MOTUS-E è una piattaforma di dialogo tra soggetti diversi, uniti dall’idea che stare insieme non significa perdere identità, ma rafforzarla, per vincere assieme la sfida che la rapida trasformazione del mondo dei trasporti ci mette davanti.</w:t>
      </w:r>
    </w:p>
    <w:p w14:paraId="70795046" w14:textId="77777777" w:rsidR="009A4F8F" w:rsidRPr="007061E6" w:rsidRDefault="00614CD8">
      <w:pPr>
        <w:spacing w:line="240" w:lineRule="auto"/>
        <w:jc w:val="both"/>
        <w:rPr>
          <w:rFonts w:asciiTheme="majorHAnsi" w:hAnsiTheme="majorHAnsi"/>
        </w:rPr>
      </w:pPr>
      <w:r w:rsidRPr="007061E6">
        <w:rPr>
          <w:rFonts w:asciiTheme="majorHAnsi" w:hAnsiTheme="majorHAnsi"/>
        </w:rPr>
        <w:t>MOTUS-E vuole fare sistema, guidando il cambiamento verso un nuovo paradigma di mobilità. Per farlo, è necessario cambiare visione, business, prospettiva, in tre direzioni:</w:t>
      </w:r>
    </w:p>
    <w:p w14:paraId="7909755A" w14:textId="77777777" w:rsidR="009A4F8F" w:rsidRPr="007061E6" w:rsidRDefault="00614CD8">
      <w:pPr>
        <w:numPr>
          <w:ilvl w:val="0"/>
          <w:numId w:val="1"/>
        </w:numPr>
        <w:spacing w:line="240" w:lineRule="auto"/>
        <w:jc w:val="both"/>
        <w:rPr>
          <w:rFonts w:asciiTheme="majorHAnsi" w:hAnsiTheme="majorHAnsi"/>
          <w:sz w:val="24"/>
          <w:szCs w:val="24"/>
        </w:rPr>
      </w:pPr>
      <w:r w:rsidRPr="007061E6">
        <w:rPr>
          <w:rFonts w:asciiTheme="majorHAnsi" w:hAnsiTheme="majorHAnsi"/>
        </w:rPr>
        <w:t>Nel modo di interpretare la mobilità come servizio, sempre più connesso e condiviso;</w:t>
      </w:r>
    </w:p>
    <w:p w14:paraId="7AE7FB7F" w14:textId="77777777" w:rsidR="009A4F8F" w:rsidRPr="007061E6" w:rsidRDefault="00614CD8">
      <w:pPr>
        <w:numPr>
          <w:ilvl w:val="0"/>
          <w:numId w:val="1"/>
        </w:numPr>
        <w:spacing w:line="240" w:lineRule="auto"/>
        <w:jc w:val="both"/>
        <w:rPr>
          <w:rFonts w:asciiTheme="majorHAnsi" w:hAnsiTheme="majorHAnsi"/>
          <w:sz w:val="24"/>
          <w:szCs w:val="24"/>
        </w:rPr>
      </w:pPr>
      <w:r w:rsidRPr="007061E6">
        <w:rPr>
          <w:rFonts w:asciiTheme="majorHAnsi" w:hAnsiTheme="majorHAnsi"/>
        </w:rPr>
        <w:t>Nel modello di formazione, che riscopre nuove opportunità di lavoro in un business che crea valore;</w:t>
      </w:r>
    </w:p>
    <w:p w14:paraId="30A83671" w14:textId="43CB2B77" w:rsidR="009A4F8F" w:rsidRPr="00180D85" w:rsidRDefault="00614CD8">
      <w:pPr>
        <w:numPr>
          <w:ilvl w:val="0"/>
          <w:numId w:val="1"/>
        </w:numPr>
        <w:spacing w:line="240" w:lineRule="auto"/>
        <w:jc w:val="both"/>
        <w:rPr>
          <w:rFonts w:asciiTheme="majorHAnsi" w:hAnsiTheme="majorHAnsi"/>
          <w:sz w:val="24"/>
          <w:szCs w:val="24"/>
        </w:rPr>
      </w:pPr>
      <w:r w:rsidRPr="007061E6">
        <w:rPr>
          <w:rFonts w:asciiTheme="majorHAnsi" w:hAnsiTheme="majorHAnsi"/>
        </w:rPr>
        <w:t xml:space="preserve">Nella prospettiva, per costruire una realtà che punta a raccogliere interessi diversi per veicolarli in modo operativo e concreto in un nuovo concetto di mobilità. </w:t>
      </w:r>
    </w:p>
    <w:p w14:paraId="644F3AA9" w14:textId="4E8A5BB5" w:rsidR="00180D85" w:rsidRDefault="00180D85" w:rsidP="00180D85">
      <w:pPr>
        <w:spacing w:line="240" w:lineRule="auto"/>
        <w:jc w:val="both"/>
        <w:rPr>
          <w:rFonts w:asciiTheme="majorHAnsi" w:hAnsiTheme="majorHAnsi"/>
          <w:sz w:val="24"/>
          <w:szCs w:val="24"/>
        </w:rPr>
      </w:pPr>
    </w:p>
    <w:p w14:paraId="2CED0154" w14:textId="77777777" w:rsidR="00180D85" w:rsidRPr="007061E6" w:rsidRDefault="00180D85" w:rsidP="00180D85">
      <w:pPr>
        <w:spacing w:line="240" w:lineRule="auto"/>
        <w:jc w:val="both"/>
        <w:rPr>
          <w:rFonts w:asciiTheme="majorHAnsi" w:hAnsiTheme="majorHAnsi"/>
          <w:sz w:val="24"/>
          <w:szCs w:val="24"/>
        </w:rPr>
      </w:pPr>
    </w:p>
    <w:p w14:paraId="403D57E8" w14:textId="1B58AD70" w:rsidR="009A4F8F" w:rsidRDefault="00180D85">
      <w:pPr>
        <w:jc w:val="both"/>
        <w:rPr>
          <w:rFonts w:asciiTheme="majorHAnsi" w:hAnsiTheme="majorHAnsi"/>
          <w:color w:val="0000FF"/>
        </w:rPr>
      </w:pPr>
      <w:r>
        <w:rPr>
          <w:rFonts w:asciiTheme="majorHAnsi" w:hAnsiTheme="majorHAnsi"/>
          <w:noProof/>
          <w:color w:val="0000FF"/>
        </w:rPr>
        <w:drawing>
          <wp:inline distT="0" distB="0" distL="0" distR="0" wp14:anchorId="720C2847" wp14:editId="521885D4">
            <wp:extent cx="5943600" cy="299148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1-01-11 alle 12.36.27.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991485"/>
                    </a:xfrm>
                    <a:prstGeom prst="rect">
                      <a:avLst/>
                    </a:prstGeom>
                  </pic:spPr>
                </pic:pic>
              </a:graphicData>
            </a:graphic>
          </wp:inline>
        </w:drawing>
      </w:r>
    </w:p>
    <w:p w14:paraId="340264D3" w14:textId="5AE2C2E6" w:rsidR="00180D85" w:rsidRDefault="00180D85">
      <w:pPr>
        <w:jc w:val="both"/>
        <w:rPr>
          <w:rFonts w:asciiTheme="majorHAnsi" w:hAnsiTheme="majorHAnsi"/>
          <w:color w:val="0000FF"/>
        </w:rPr>
      </w:pPr>
    </w:p>
    <w:p w14:paraId="485BE000" w14:textId="07AD2FCD" w:rsidR="00180D85" w:rsidRDefault="00180D85">
      <w:pPr>
        <w:jc w:val="both"/>
        <w:rPr>
          <w:rFonts w:asciiTheme="majorHAnsi" w:hAnsiTheme="majorHAnsi"/>
          <w:color w:val="0000FF"/>
        </w:rPr>
      </w:pPr>
    </w:p>
    <w:p w14:paraId="3F7B32F4" w14:textId="080CF895" w:rsidR="00180D85" w:rsidRPr="00180D85" w:rsidRDefault="00180D85" w:rsidP="00180D85">
      <w:pPr>
        <w:spacing w:line="240" w:lineRule="auto"/>
        <w:rPr>
          <w:rFonts w:ascii="Times New Roman" w:eastAsia="Times New Roman" w:hAnsi="Times New Roman" w:cs="Times New Roman"/>
          <w:sz w:val="24"/>
          <w:szCs w:val="24"/>
        </w:rPr>
      </w:pPr>
      <w:r w:rsidRPr="00180D85">
        <w:rPr>
          <w:rFonts w:ascii="Times New Roman" w:eastAsia="Times New Roman" w:hAnsi="Times New Roman" w:cs="Times New Roman"/>
          <w:sz w:val="24"/>
          <w:szCs w:val="24"/>
        </w:rPr>
        <w:fldChar w:fldCharType="begin"/>
      </w:r>
      <w:r w:rsidRPr="00180D85">
        <w:rPr>
          <w:rFonts w:ascii="Times New Roman" w:eastAsia="Times New Roman" w:hAnsi="Times New Roman" w:cs="Times New Roman"/>
          <w:sz w:val="24"/>
          <w:szCs w:val="24"/>
        </w:rPr>
        <w:instrText xml:space="preserve"> INCLUDEPICTURE "cid:ii_kjshm4x80" \* MERGEFORMATINET </w:instrText>
      </w:r>
      <w:r w:rsidRPr="00180D85">
        <w:rPr>
          <w:rFonts w:ascii="Times New Roman" w:eastAsia="Times New Roman" w:hAnsi="Times New Roman" w:cs="Times New Roman"/>
          <w:sz w:val="24"/>
          <w:szCs w:val="24"/>
        </w:rPr>
        <w:fldChar w:fldCharType="separate"/>
      </w:r>
      <w:r w:rsidRPr="00180D85">
        <w:rPr>
          <w:rFonts w:ascii="Times New Roman" w:eastAsia="Times New Roman" w:hAnsi="Times New Roman" w:cs="Times New Roman"/>
          <w:noProof/>
          <w:sz w:val="24"/>
          <w:szCs w:val="24"/>
        </w:rPr>
        <mc:AlternateContent>
          <mc:Choice Requires="wps">
            <w:drawing>
              <wp:inline distT="0" distB="0" distL="0" distR="0" wp14:anchorId="4EE843BB" wp14:editId="79ECAF46">
                <wp:extent cx="308610" cy="308610"/>
                <wp:effectExtent l="0" t="0" r="0" b="0"/>
                <wp:docPr id="5" name="Rettangolo 5"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D55B33" id="Rettangolo 5" o:spid="_x0000_s1026" alt="image.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" filled="f" stroked="f">
                <o:lock v:ext="edit" aspectratio="t"/>
                <w10:anchorlock/>
              </v:rect>
            </w:pict>
          </mc:Fallback>
        </mc:AlternateContent>
      </w:r>
      <w:r w:rsidRPr="00180D85">
        <w:rPr>
          <w:rFonts w:ascii="Times New Roman" w:eastAsia="Times New Roman" w:hAnsi="Times New Roman" w:cs="Times New Roman"/>
          <w:sz w:val="24"/>
          <w:szCs w:val="24"/>
        </w:rPr>
        <w:fldChar w:fldCharType="end"/>
      </w:r>
    </w:p>
    <w:p w14:paraId="1A0F901C" w14:textId="1C9FEF74" w:rsidR="00180D85" w:rsidRPr="007061E6" w:rsidRDefault="00180D85">
      <w:pPr>
        <w:jc w:val="both"/>
        <w:rPr>
          <w:rFonts w:asciiTheme="majorHAnsi" w:hAnsiTheme="majorHAnsi"/>
          <w:color w:val="0000FF"/>
        </w:rPr>
      </w:pPr>
      <w:r>
        <w:rPr>
          <w:rFonts w:asciiTheme="majorHAnsi" w:hAnsiTheme="majorHAnsi"/>
          <w:color w:val="0000FF"/>
        </w:rPr>
        <w:t>motus-e.org</w:t>
      </w:r>
    </w:p>
    <w:sectPr w:rsidR="00180D85" w:rsidRPr="007061E6" w:rsidSect="004C0100">
      <w:headerReference w:type="even" r:id="rId15"/>
      <w:headerReference w:type="default" r:id="rId16"/>
      <w:footerReference w:type="even" r:id="rId17"/>
      <w:footerReference w:type="default" r:id="rId18"/>
      <w:headerReference w:type="first" r:id="rId19"/>
      <w:footerReference w:type="first" r:id="rId20"/>
      <w:pgSz w:w="12240" w:h="15840"/>
      <w:pgMar w:top="1134"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8DE27" w14:textId="77777777" w:rsidR="004A4FDC" w:rsidRDefault="004A4FDC">
      <w:pPr>
        <w:spacing w:line="240" w:lineRule="auto"/>
      </w:pPr>
      <w:r>
        <w:separator/>
      </w:r>
    </w:p>
  </w:endnote>
  <w:endnote w:type="continuationSeparator" w:id="0">
    <w:p w14:paraId="008BB518" w14:textId="77777777" w:rsidR="004A4FDC" w:rsidRDefault="004A4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7435" w14:textId="77777777" w:rsidR="00F943BB" w:rsidRDefault="00F943B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518998"/>
      <w:docPartObj>
        <w:docPartGallery w:val="Page Numbers (Bottom of Page)"/>
        <w:docPartUnique/>
      </w:docPartObj>
    </w:sdtPr>
    <w:sdtEndPr/>
    <w:sdtContent>
      <w:p w14:paraId="69FB4F5A" w14:textId="296034AD" w:rsidR="0097152E" w:rsidRDefault="0097152E">
        <w:pPr>
          <w:pStyle w:val="Pidipagina"/>
          <w:jc w:val="right"/>
        </w:pPr>
        <w:r>
          <w:fldChar w:fldCharType="begin"/>
        </w:r>
        <w:r>
          <w:instrText>PAGE   \* MERGEFORMAT</w:instrText>
        </w:r>
        <w:r>
          <w:fldChar w:fldCharType="separate"/>
        </w:r>
        <w:r w:rsidR="00243A52">
          <w:rPr>
            <w:noProof/>
          </w:rPr>
          <w:t>21</w:t>
        </w:r>
        <w:r>
          <w:fldChar w:fldCharType="end"/>
        </w:r>
      </w:p>
    </w:sdtContent>
  </w:sdt>
  <w:p w14:paraId="69200D6E" w14:textId="77777777" w:rsidR="0097152E" w:rsidRDefault="0097152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2A34" w14:textId="77777777" w:rsidR="00F943BB" w:rsidRDefault="00F943B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A19E" w14:textId="77777777" w:rsidR="004A4FDC" w:rsidRDefault="004A4FDC">
      <w:pPr>
        <w:spacing w:line="240" w:lineRule="auto"/>
      </w:pPr>
      <w:r>
        <w:separator/>
      </w:r>
    </w:p>
  </w:footnote>
  <w:footnote w:type="continuationSeparator" w:id="0">
    <w:p w14:paraId="13469364" w14:textId="77777777" w:rsidR="004A4FDC" w:rsidRDefault="004A4FDC">
      <w:pPr>
        <w:spacing w:line="240" w:lineRule="auto"/>
      </w:pPr>
      <w:r>
        <w:continuationSeparator/>
      </w:r>
    </w:p>
  </w:footnote>
  <w:footnote w:id="1">
    <w:p w14:paraId="2FE8FBF9" w14:textId="77777777" w:rsidR="0097152E" w:rsidRDefault="0097152E">
      <w:pPr>
        <w:spacing w:line="240" w:lineRule="auto"/>
        <w:rPr>
          <w:sz w:val="20"/>
          <w:szCs w:val="20"/>
        </w:rPr>
      </w:pPr>
      <w:r>
        <w:rPr>
          <w:vertAlign w:val="superscript"/>
        </w:rPr>
        <w:footnoteRef/>
      </w:r>
      <w:r>
        <w:rPr>
          <w:sz w:val="20"/>
          <w:szCs w:val="20"/>
        </w:rPr>
        <w:t xml:space="preserve"> Milioni di tonnellate equivalenti di petrolio</w:t>
      </w:r>
    </w:p>
  </w:footnote>
  <w:footnote w:id="2">
    <w:p w14:paraId="18174ECF" w14:textId="77777777" w:rsidR="0097152E" w:rsidRDefault="0097152E">
      <w:pPr>
        <w:spacing w:line="240" w:lineRule="auto"/>
        <w:rPr>
          <w:sz w:val="20"/>
          <w:szCs w:val="20"/>
        </w:rPr>
      </w:pPr>
      <w:r>
        <w:rPr>
          <w:vertAlign w:val="superscript"/>
        </w:rPr>
        <w:footnoteRef/>
      </w:r>
      <w:r>
        <w:rPr>
          <w:sz w:val="20"/>
          <w:szCs w:val="20"/>
        </w:rPr>
        <w:t xml:space="preserve"> Fonti energetiche rinnovabili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443C" w14:textId="77777777" w:rsidR="00F943BB" w:rsidRDefault="00F943B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A500" w14:textId="77777777" w:rsidR="0097152E" w:rsidRDefault="0097152E" w:rsidP="001F1731">
    <w:pPr>
      <w:pStyle w:val="Intestazione"/>
      <w:jc w:val="right"/>
    </w:pPr>
    <w:r>
      <w:rPr>
        <w:noProof/>
        <w:bdr w:val="none" w:sz="0" w:space="0" w:color="auto" w:frame="1"/>
      </w:rPr>
      <w:drawing>
        <wp:inline distT="0" distB="0" distL="0" distR="0" wp14:anchorId="5EABBDD1" wp14:editId="7D9DF5BB">
          <wp:extent cx="1228725" cy="457200"/>
          <wp:effectExtent l="0" t="0" r="0" b="0"/>
          <wp:docPr id="10" name="Immagine 10" descr="https://lh4.googleusercontent.com/TbyirQ_HmRzb3zP_J8e0dqR58-qWYQuHSu2cH27gyYWMlhH_zf9DsPkdo1fLM5qxTculb8kohYhP3gLFMItk3af6shzxTA3whOiMemENzD_ZW2XVbSOSge00JQfvE--iMwLFE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byirQ_HmRzb3zP_J8e0dqR58-qWYQuHSu2cH27gyYWMlhH_zf9DsPkdo1fLM5qxTculb8kohYhP3gLFMItk3af6shzxTA3whOiMemENzD_ZW2XVbSOSge00JQfvE--iMwLFE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p w14:paraId="107DC646" w14:textId="77777777" w:rsidR="0097152E" w:rsidRDefault="0097152E">
    <w:pPr>
      <w:widowControl w:val="0"/>
      <w:pBdr>
        <w:top w:val="nil"/>
        <w:left w:val="nil"/>
        <w:bottom w:val="nil"/>
        <w:right w:val="nil"/>
        <w:between w:val="nil"/>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B8A0" w14:textId="77777777" w:rsidR="00F943BB" w:rsidRDefault="00F943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5648"/>
    <w:multiLevelType w:val="multilevel"/>
    <w:tmpl w:val="87B49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309B5"/>
    <w:multiLevelType w:val="multilevel"/>
    <w:tmpl w:val="3A309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2F635D"/>
    <w:multiLevelType w:val="multilevel"/>
    <w:tmpl w:val="6ED68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6099A"/>
    <w:multiLevelType w:val="multilevel"/>
    <w:tmpl w:val="2C74B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04797"/>
    <w:multiLevelType w:val="multilevel"/>
    <w:tmpl w:val="52C2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00FDC"/>
    <w:multiLevelType w:val="multilevel"/>
    <w:tmpl w:val="2E76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E415D3"/>
    <w:multiLevelType w:val="multilevel"/>
    <w:tmpl w:val="FEF22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DD7D22"/>
    <w:multiLevelType w:val="multilevel"/>
    <w:tmpl w:val="C43CB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4F33F0"/>
    <w:multiLevelType w:val="multilevel"/>
    <w:tmpl w:val="78F83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3455CF"/>
    <w:multiLevelType w:val="multilevel"/>
    <w:tmpl w:val="4A5E5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697D64"/>
    <w:multiLevelType w:val="multilevel"/>
    <w:tmpl w:val="56489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A91BBB"/>
    <w:multiLevelType w:val="multilevel"/>
    <w:tmpl w:val="3752C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514C85"/>
    <w:multiLevelType w:val="multilevel"/>
    <w:tmpl w:val="8ACE8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0BF47B1"/>
    <w:multiLevelType w:val="multilevel"/>
    <w:tmpl w:val="07ACA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6E4A89"/>
    <w:multiLevelType w:val="multilevel"/>
    <w:tmpl w:val="40E62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9465BA"/>
    <w:multiLevelType w:val="multilevel"/>
    <w:tmpl w:val="E07E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935104"/>
    <w:multiLevelType w:val="multilevel"/>
    <w:tmpl w:val="BBFA0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D1101A"/>
    <w:multiLevelType w:val="multilevel"/>
    <w:tmpl w:val="C9FC7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E34A72"/>
    <w:multiLevelType w:val="multilevel"/>
    <w:tmpl w:val="8FC26E0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775622"/>
    <w:multiLevelType w:val="multilevel"/>
    <w:tmpl w:val="29145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B57AA6"/>
    <w:multiLevelType w:val="hybridMultilevel"/>
    <w:tmpl w:val="BBECF3AC"/>
    <w:lvl w:ilvl="0" w:tplc="35184A2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973C36"/>
    <w:multiLevelType w:val="multilevel"/>
    <w:tmpl w:val="D5221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1B1E26"/>
    <w:multiLevelType w:val="multilevel"/>
    <w:tmpl w:val="898A1A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D9C0D78"/>
    <w:multiLevelType w:val="hybridMultilevel"/>
    <w:tmpl w:val="E70A0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346794"/>
    <w:multiLevelType w:val="multilevel"/>
    <w:tmpl w:val="76E253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C919E4"/>
    <w:multiLevelType w:val="hybridMultilevel"/>
    <w:tmpl w:val="73142860"/>
    <w:lvl w:ilvl="0" w:tplc="35184A2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D52261"/>
    <w:multiLevelType w:val="multilevel"/>
    <w:tmpl w:val="3632A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22B0FA0"/>
    <w:multiLevelType w:val="multilevel"/>
    <w:tmpl w:val="433A6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FD55E5"/>
    <w:multiLevelType w:val="multilevel"/>
    <w:tmpl w:val="0B760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DA62D7"/>
    <w:multiLevelType w:val="multilevel"/>
    <w:tmpl w:val="22406088"/>
    <w:lvl w:ilvl="0">
      <w:start w:val="1"/>
      <w:numFmt w:val="bullet"/>
      <w:lvlText w:val="●"/>
      <w:lvlJc w:val="left"/>
      <w:pPr>
        <w:ind w:left="720" w:hanging="360"/>
      </w:pPr>
      <w:rPr>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2422CD"/>
    <w:multiLevelType w:val="multilevel"/>
    <w:tmpl w:val="83443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1516A3"/>
    <w:multiLevelType w:val="multilevel"/>
    <w:tmpl w:val="30DE1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2C0C5D"/>
    <w:multiLevelType w:val="multilevel"/>
    <w:tmpl w:val="D8387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DA76E4"/>
    <w:multiLevelType w:val="multilevel"/>
    <w:tmpl w:val="C8420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CE0B95"/>
    <w:multiLevelType w:val="multilevel"/>
    <w:tmpl w:val="E976DC48"/>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5" w15:restartNumberingAfterBreak="0">
    <w:nsid w:val="65BD4067"/>
    <w:multiLevelType w:val="multilevel"/>
    <w:tmpl w:val="CBFC1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823A41"/>
    <w:multiLevelType w:val="multilevel"/>
    <w:tmpl w:val="08D88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442513"/>
    <w:multiLevelType w:val="multilevel"/>
    <w:tmpl w:val="A8AA2CB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206F28"/>
    <w:multiLevelType w:val="multilevel"/>
    <w:tmpl w:val="3B161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FB3E30"/>
    <w:multiLevelType w:val="multilevel"/>
    <w:tmpl w:val="CC544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D60F85"/>
    <w:multiLevelType w:val="multilevel"/>
    <w:tmpl w:val="2E3C1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877417"/>
    <w:multiLevelType w:val="multilevel"/>
    <w:tmpl w:val="F4366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CA348DF"/>
    <w:multiLevelType w:val="multilevel"/>
    <w:tmpl w:val="AFEC7A5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36"/>
  </w:num>
  <w:num w:numId="2">
    <w:abstractNumId w:val="7"/>
  </w:num>
  <w:num w:numId="3">
    <w:abstractNumId w:val="16"/>
  </w:num>
  <w:num w:numId="4">
    <w:abstractNumId w:val="11"/>
  </w:num>
  <w:num w:numId="5">
    <w:abstractNumId w:val="24"/>
  </w:num>
  <w:num w:numId="6">
    <w:abstractNumId w:val="1"/>
  </w:num>
  <w:num w:numId="7">
    <w:abstractNumId w:val="35"/>
  </w:num>
  <w:num w:numId="8">
    <w:abstractNumId w:val="9"/>
  </w:num>
  <w:num w:numId="9">
    <w:abstractNumId w:val="21"/>
  </w:num>
  <w:num w:numId="10">
    <w:abstractNumId w:val="34"/>
  </w:num>
  <w:num w:numId="11">
    <w:abstractNumId w:val="12"/>
  </w:num>
  <w:num w:numId="12">
    <w:abstractNumId w:val="8"/>
  </w:num>
  <w:num w:numId="13">
    <w:abstractNumId w:val="4"/>
  </w:num>
  <w:num w:numId="14">
    <w:abstractNumId w:val="22"/>
  </w:num>
  <w:num w:numId="15">
    <w:abstractNumId w:val="32"/>
  </w:num>
  <w:num w:numId="16">
    <w:abstractNumId w:val="14"/>
  </w:num>
  <w:num w:numId="17">
    <w:abstractNumId w:val="29"/>
  </w:num>
  <w:num w:numId="18">
    <w:abstractNumId w:val="39"/>
  </w:num>
  <w:num w:numId="19">
    <w:abstractNumId w:val="38"/>
  </w:num>
  <w:num w:numId="20">
    <w:abstractNumId w:val="31"/>
  </w:num>
  <w:num w:numId="21">
    <w:abstractNumId w:val="17"/>
  </w:num>
  <w:num w:numId="22">
    <w:abstractNumId w:val="18"/>
  </w:num>
  <w:num w:numId="23">
    <w:abstractNumId w:val="6"/>
  </w:num>
  <w:num w:numId="24">
    <w:abstractNumId w:val="0"/>
  </w:num>
  <w:num w:numId="25">
    <w:abstractNumId w:val="27"/>
  </w:num>
  <w:num w:numId="26">
    <w:abstractNumId w:val="19"/>
  </w:num>
  <w:num w:numId="27">
    <w:abstractNumId w:val="40"/>
  </w:num>
  <w:num w:numId="28">
    <w:abstractNumId w:val="28"/>
  </w:num>
  <w:num w:numId="29">
    <w:abstractNumId w:val="41"/>
  </w:num>
  <w:num w:numId="30">
    <w:abstractNumId w:val="3"/>
  </w:num>
  <w:num w:numId="31">
    <w:abstractNumId w:val="15"/>
  </w:num>
  <w:num w:numId="32">
    <w:abstractNumId w:val="33"/>
  </w:num>
  <w:num w:numId="33">
    <w:abstractNumId w:val="42"/>
  </w:num>
  <w:num w:numId="34">
    <w:abstractNumId w:val="13"/>
  </w:num>
  <w:num w:numId="35">
    <w:abstractNumId w:val="2"/>
  </w:num>
  <w:num w:numId="36">
    <w:abstractNumId w:val="37"/>
  </w:num>
  <w:num w:numId="37">
    <w:abstractNumId w:val="5"/>
  </w:num>
  <w:num w:numId="38">
    <w:abstractNumId w:val="26"/>
  </w:num>
  <w:num w:numId="39">
    <w:abstractNumId w:val="30"/>
  </w:num>
  <w:num w:numId="40">
    <w:abstractNumId w:val="10"/>
  </w:num>
  <w:num w:numId="41">
    <w:abstractNumId w:val="25"/>
  </w:num>
  <w:num w:numId="42">
    <w:abstractNumId w:val="20"/>
  </w:num>
  <w:num w:numId="43">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8F"/>
    <w:rsid w:val="000A7212"/>
    <w:rsid w:val="000F569C"/>
    <w:rsid w:val="00145450"/>
    <w:rsid w:val="00180D85"/>
    <w:rsid w:val="001B2C41"/>
    <w:rsid w:val="001F1731"/>
    <w:rsid w:val="001F5706"/>
    <w:rsid w:val="00222E2E"/>
    <w:rsid w:val="00243A52"/>
    <w:rsid w:val="002C2F35"/>
    <w:rsid w:val="002D3464"/>
    <w:rsid w:val="00364B74"/>
    <w:rsid w:val="00381BA0"/>
    <w:rsid w:val="004A4FDC"/>
    <w:rsid w:val="004C0100"/>
    <w:rsid w:val="004C2ECE"/>
    <w:rsid w:val="004C625E"/>
    <w:rsid w:val="00505389"/>
    <w:rsid w:val="005443BE"/>
    <w:rsid w:val="005A65EF"/>
    <w:rsid w:val="00605CEB"/>
    <w:rsid w:val="00614CD8"/>
    <w:rsid w:val="00634D6F"/>
    <w:rsid w:val="00641B3A"/>
    <w:rsid w:val="007061E6"/>
    <w:rsid w:val="007111D7"/>
    <w:rsid w:val="007871E0"/>
    <w:rsid w:val="00794926"/>
    <w:rsid w:val="007F4642"/>
    <w:rsid w:val="00814060"/>
    <w:rsid w:val="008434F7"/>
    <w:rsid w:val="00886514"/>
    <w:rsid w:val="008B6E4A"/>
    <w:rsid w:val="008F14AA"/>
    <w:rsid w:val="00910462"/>
    <w:rsid w:val="00954039"/>
    <w:rsid w:val="0097152E"/>
    <w:rsid w:val="009A4F8F"/>
    <w:rsid w:val="009A6069"/>
    <w:rsid w:val="00A24DB8"/>
    <w:rsid w:val="00A2626B"/>
    <w:rsid w:val="00A771BF"/>
    <w:rsid w:val="00AE71E2"/>
    <w:rsid w:val="00B21DA0"/>
    <w:rsid w:val="00B44427"/>
    <w:rsid w:val="00B81853"/>
    <w:rsid w:val="00BF6183"/>
    <w:rsid w:val="00C0650D"/>
    <w:rsid w:val="00C13528"/>
    <w:rsid w:val="00C263DA"/>
    <w:rsid w:val="00C550B7"/>
    <w:rsid w:val="00C8641A"/>
    <w:rsid w:val="00CA2A5D"/>
    <w:rsid w:val="00CC778A"/>
    <w:rsid w:val="00D63261"/>
    <w:rsid w:val="00D92FAE"/>
    <w:rsid w:val="00E0521A"/>
    <w:rsid w:val="00E4247B"/>
    <w:rsid w:val="00E42A8B"/>
    <w:rsid w:val="00E546FD"/>
    <w:rsid w:val="00EC4408"/>
    <w:rsid w:val="00EC688C"/>
    <w:rsid w:val="00F12F39"/>
    <w:rsid w:val="00F1381C"/>
    <w:rsid w:val="00F3064D"/>
    <w:rsid w:val="00F841F3"/>
    <w:rsid w:val="00F94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6B32"/>
  <w15:docId w15:val="{DDCC5273-0F1E-0944-A0FE-77DE3C2B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5244B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4B0"/>
    <w:rPr>
      <w:rFonts w:ascii="Tahoma" w:hAnsi="Tahoma" w:cs="Tahoma"/>
      <w:sz w:val="16"/>
      <w:szCs w:val="16"/>
    </w:rPr>
  </w:style>
  <w:style w:type="paragraph" w:styleId="Nessunaspaziatura">
    <w:name w:val="No Spacing"/>
    <w:uiPriority w:val="1"/>
    <w:qFormat/>
    <w:rsid w:val="001E2FD6"/>
    <w:pPr>
      <w:spacing w:line="240" w:lineRule="auto"/>
    </w:pPr>
  </w:style>
  <w:style w:type="table" w:customStyle="1" w:styleId="a0">
    <w:basedOn w:val="TableNormal0"/>
    <w:pPr>
      <w:spacing w:line="240" w:lineRule="auto"/>
    </w:pPr>
    <w:tblPr>
      <w:tblStyleRowBandSize w:val="1"/>
      <w:tblStyleColBandSize w:val="1"/>
      <w:tblCellMar>
        <w:left w:w="108"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E4247B"/>
    <w:rPr>
      <w:b/>
      <w:bCs/>
    </w:rPr>
  </w:style>
  <w:style w:type="character" w:customStyle="1" w:styleId="SoggettocommentoCarattere">
    <w:name w:val="Soggetto commento Carattere"/>
    <w:basedOn w:val="TestocommentoCarattere"/>
    <w:link w:val="Soggettocommento"/>
    <w:uiPriority w:val="99"/>
    <w:semiHidden/>
    <w:rsid w:val="00E4247B"/>
    <w:rPr>
      <w:b/>
      <w:bCs/>
      <w:sz w:val="20"/>
      <w:szCs w:val="20"/>
    </w:rPr>
  </w:style>
  <w:style w:type="paragraph" w:styleId="Revisione">
    <w:name w:val="Revision"/>
    <w:hidden/>
    <w:uiPriority w:val="99"/>
    <w:semiHidden/>
    <w:rsid w:val="00E4247B"/>
    <w:pPr>
      <w:spacing w:line="240" w:lineRule="auto"/>
    </w:pPr>
  </w:style>
  <w:style w:type="paragraph" w:styleId="Intestazione">
    <w:name w:val="header"/>
    <w:basedOn w:val="Normale"/>
    <w:link w:val="IntestazioneCarattere"/>
    <w:uiPriority w:val="99"/>
    <w:unhideWhenUsed/>
    <w:rsid w:val="001F173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F1731"/>
  </w:style>
  <w:style w:type="paragraph" w:styleId="Pidipagina">
    <w:name w:val="footer"/>
    <w:basedOn w:val="Normale"/>
    <w:link w:val="PidipaginaCarattere"/>
    <w:uiPriority w:val="99"/>
    <w:unhideWhenUsed/>
    <w:rsid w:val="001F173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F1731"/>
  </w:style>
  <w:style w:type="paragraph" w:styleId="Paragrafoelenco">
    <w:name w:val="List Paragraph"/>
    <w:basedOn w:val="Normale"/>
    <w:uiPriority w:val="34"/>
    <w:qFormat/>
    <w:rsid w:val="002C2F35"/>
    <w:pPr>
      <w:spacing w:after="200"/>
      <w:ind w:left="720"/>
      <w:contextualSpacing/>
    </w:pPr>
    <w:rPr>
      <w:rFonts w:ascii="Calibri" w:eastAsia="Calibri" w:hAnsi="Calibri" w:cs="Calibri"/>
    </w:rPr>
  </w:style>
  <w:style w:type="paragraph" w:styleId="Sommario1">
    <w:name w:val="toc 1"/>
    <w:basedOn w:val="Normale"/>
    <w:next w:val="Normale"/>
    <w:autoRedefine/>
    <w:uiPriority w:val="39"/>
    <w:unhideWhenUsed/>
    <w:rsid w:val="00910462"/>
    <w:pPr>
      <w:spacing w:after="100"/>
    </w:pPr>
  </w:style>
  <w:style w:type="paragraph" w:styleId="Sommario2">
    <w:name w:val="toc 2"/>
    <w:basedOn w:val="Normale"/>
    <w:next w:val="Normale"/>
    <w:autoRedefine/>
    <w:uiPriority w:val="39"/>
    <w:unhideWhenUsed/>
    <w:rsid w:val="00910462"/>
    <w:pPr>
      <w:spacing w:after="100"/>
      <w:ind w:left="220"/>
    </w:pPr>
  </w:style>
  <w:style w:type="paragraph" w:styleId="Sommario3">
    <w:name w:val="toc 3"/>
    <w:basedOn w:val="Normale"/>
    <w:next w:val="Normale"/>
    <w:autoRedefine/>
    <w:uiPriority w:val="39"/>
    <w:unhideWhenUsed/>
    <w:rsid w:val="00910462"/>
    <w:pPr>
      <w:spacing w:after="100"/>
      <w:ind w:left="440"/>
    </w:pPr>
  </w:style>
  <w:style w:type="character" w:styleId="Collegamentoipertestuale">
    <w:name w:val="Hyperlink"/>
    <w:basedOn w:val="Carpredefinitoparagrafo"/>
    <w:uiPriority w:val="99"/>
    <w:unhideWhenUsed/>
    <w:rsid w:val="00910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1939">
      <w:bodyDiv w:val="1"/>
      <w:marLeft w:val="0"/>
      <w:marRight w:val="0"/>
      <w:marTop w:val="0"/>
      <w:marBottom w:val="0"/>
      <w:divBdr>
        <w:top w:val="none" w:sz="0" w:space="0" w:color="auto"/>
        <w:left w:val="none" w:sz="0" w:space="0" w:color="auto"/>
        <w:bottom w:val="none" w:sz="0" w:space="0" w:color="auto"/>
        <w:right w:val="none" w:sz="0" w:space="0" w:color="auto"/>
      </w:divBdr>
    </w:div>
    <w:div w:id="1732730772">
      <w:bodyDiv w:val="1"/>
      <w:marLeft w:val="0"/>
      <w:marRight w:val="0"/>
      <w:marTop w:val="0"/>
      <w:marBottom w:val="0"/>
      <w:divBdr>
        <w:top w:val="none" w:sz="0" w:space="0" w:color="auto"/>
        <w:left w:val="none" w:sz="0" w:space="0" w:color="auto"/>
        <w:bottom w:val="none" w:sz="0" w:space="0" w:color="auto"/>
        <w:right w:val="none" w:sz="0" w:space="0" w:color="auto"/>
      </w:divBdr>
    </w:div>
    <w:div w:id="1832136911">
      <w:bodyDiv w:val="1"/>
      <w:marLeft w:val="0"/>
      <w:marRight w:val="0"/>
      <w:marTop w:val="0"/>
      <w:marBottom w:val="0"/>
      <w:divBdr>
        <w:top w:val="none" w:sz="0" w:space="0" w:color="auto"/>
        <w:left w:val="none" w:sz="0" w:space="0" w:color="auto"/>
        <w:bottom w:val="none" w:sz="0" w:space="0" w:color="auto"/>
        <w:right w:val="none" w:sz="0" w:space="0" w:color="auto"/>
      </w:divBdr>
    </w:div>
    <w:div w:id="2060592181">
      <w:bodyDiv w:val="1"/>
      <w:marLeft w:val="0"/>
      <w:marRight w:val="0"/>
      <w:marTop w:val="0"/>
      <w:marBottom w:val="0"/>
      <w:divBdr>
        <w:top w:val="none" w:sz="0" w:space="0" w:color="auto"/>
        <w:left w:val="none" w:sz="0" w:space="0" w:color="auto"/>
        <w:bottom w:val="none" w:sz="0" w:space="0" w:color="auto"/>
        <w:right w:val="none" w:sz="0" w:space="0" w:color="auto"/>
      </w:divBdr>
      <w:divsChild>
        <w:div w:id="7647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254439">
              <w:marLeft w:val="0"/>
              <w:marRight w:val="0"/>
              <w:marTop w:val="0"/>
              <w:marBottom w:val="0"/>
              <w:divBdr>
                <w:top w:val="none" w:sz="0" w:space="0" w:color="auto"/>
                <w:left w:val="none" w:sz="0" w:space="0" w:color="auto"/>
                <w:bottom w:val="none" w:sz="0" w:space="0" w:color="auto"/>
                <w:right w:val="none" w:sz="0" w:space="0" w:color="auto"/>
              </w:divBdr>
              <w:divsChild>
                <w:div w:id="1818717119">
                  <w:marLeft w:val="0"/>
                  <w:marRight w:val="0"/>
                  <w:marTop w:val="0"/>
                  <w:marBottom w:val="0"/>
                  <w:divBdr>
                    <w:top w:val="none" w:sz="0" w:space="0" w:color="auto"/>
                    <w:left w:val="none" w:sz="0" w:space="0" w:color="auto"/>
                    <w:bottom w:val="none" w:sz="0" w:space="0" w:color="auto"/>
                    <w:right w:val="none" w:sz="0" w:space="0" w:color="auto"/>
                  </w:divBdr>
                  <w:divsChild>
                    <w:div w:id="2833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8FfZ1YEehgpHUP5IPxzqbxaLeg==">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D1009D-58AF-41A5-84D0-F3BB69EA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8247</Words>
  <Characters>47009</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Matteo</dc:creator>
  <cp:lastModifiedBy>Umberto Mazzantini</cp:lastModifiedBy>
  <cp:revision>2</cp:revision>
  <dcterms:created xsi:type="dcterms:W3CDTF">2021-01-11T13:23:00Z</dcterms:created>
  <dcterms:modified xsi:type="dcterms:W3CDTF">2021-01-11T13:23:00Z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iteId">
    <vt:lpwstr>d539d4bf-5610-471a-afc2-1c76685cfefa</vt:lpwstr>
  </property>
  <property fmtid="{D5CDD505-2E9C-101B-9397-08002B2CF9AE}" pid="4" name="MSIP_Label_b284f6bf-f638-41cc-935f-2157ddac8142_Owner">
    <vt:lpwstr>giovanni.matranga@enel.com</vt:lpwstr>
  </property>
  <property fmtid="{D5CDD505-2E9C-101B-9397-08002B2CF9AE}" pid="5" name="MSIP_Label_b284f6bf-f638-41cc-935f-2157ddac8142_SetDate">
    <vt:lpwstr>2021-01-08T08:49:10.8036195Z</vt:lpwstr>
  </property>
  <property fmtid="{D5CDD505-2E9C-101B-9397-08002B2CF9AE}" pid="6" name="MSIP_Label_b284f6bf-f638-41cc-935f-2157ddac8142_Name">
    <vt:lpwstr>Public</vt:lpwstr>
  </property>
  <property fmtid="{D5CDD505-2E9C-101B-9397-08002B2CF9AE}" pid="7" name="MSIP_Label_b284f6bf-f638-41cc-935f-2157ddac8142_Application">
    <vt:lpwstr>Microsoft Azure Information Protection</vt:lpwstr>
  </property>
  <property fmtid="{D5CDD505-2E9C-101B-9397-08002B2CF9AE}" pid="8" name="MSIP_Label_b284f6bf-f638-41cc-935f-2157ddac8142_ActionId">
    <vt:lpwstr>0de5dfd9-abe6-4081-bdec-256768274c1e</vt:lpwstr>
  </property>
  <property fmtid="{D5CDD505-2E9C-101B-9397-08002B2CF9AE}" pid="9" name="MSIP_Label_b284f6bf-f638-41cc-935f-2157ddac8142_Extended_MSFT_Method">
    <vt:lpwstr>Manual</vt:lpwstr>
  </property>
  <property fmtid="{D5CDD505-2E9C-101B-9397-08002B2CF9AE}" pid="10" name="Sensitivity">
    <vt:lpwstr>Public</vt:lpwstr>
  </property>
</Properties>
</file>